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2"/>
  <w:body>
    <w:p w14:paraId="6CCD7006" w14:textId="77777777" w:rsidR="008E286E" w:rsidRPr="008E286E" w:rsidRDefault="008E286E" w:rsidP="00692AB9">
      <w:pPr>
        <w:pStyle w:val="BDFCoverTitle"/>
        <w:rPr>
          <w:rFonts w:ascii="Arial" w:hAnsi="Arial" w:cs="Arial"/>
          <w:sz w:val="36"/>
          <w:szCs w:val="36"/>
        </w:rPr>
      </w:pPr>
      <w:bookmarkStart w:id="0" w:name="_Hlk199960437"/>
      <w:r w:rsidRPr="008E286E">
        <w:rPr>
          <w:rFonts w:ascii="Arial" w:hAnsi="Arial" w:cs="Arial"/>
          <w:sz w:val="36"/>
          <w:szCs w:val="36"/>
        </w:rPr>
        <w:t>Response to the Equality (Race and Disability) Bill consultation</w:t>
      </w:r>
    </w:p>
    <w:p w14:paraId="204F7EB5" w14:textId="77777777" w:rsidR="008E286E" w:rsidRPr="008E286E" w:rsidRDefault="008E286E" w:rsidP="00692AB9">
      <w:pPr>
        <w:keepLines w:val="0"/>
        <w:rPr>
          <w:b/>
          <w:bCs/>
          <w:sz w:val="32"/>
          <w:szCs w:val="32"/>
        </w:rPr>
      </w:pPr>
      <w:r w:rsidRPr="008E286E">
        <w:rPr>
          <w:b/>
          <w:bCs/>
          <w:sz w:val="32"/>
          <w:szCs w:val="32"/>
        </w:rPr>
        <w:t>By Business Disability Forum, June 2025</w:t>
      </w:r>
    </w:p>
    <w:p w14:paraId="24BCA838" w14:textId="77777777" w:rsidR="008E286E" w:rsidRPr="00692AB9" w:rsidRDefault="008E286E" w:rsidP="00A2438E">
      <w:pPr>
        <w:pStyle w:val="Heading1"/>
        <w:keepLines w:val="0"/>
        <w:spacing w:line="360" w:lineRule="auto"/>
        <w:rPr>
          <w:rFonts w:ascii="Arial" w:hAnsi="Arial" w:cs="Arial"/>
          <w:sz w:val="32"/>
        </w:rPr>
      </w:pPr>
      <w:r w:rsidRPr="00692AB9">
        <w:rPr>
          <w:rFonts w:ascii="Arial" w:hAnsi="Arial" w:cs="Arial"/>
          <w:sz w:val="32"/>
        </w:rPr>
        <w:t>About Business Disability Forum and our response</w:t>
      </w:r>
    </w:p>
    <w:p w14:paraId="748E243D" w14:textId="77777777" w:rsidR="008E286E" w:rsidRPr="008E286E" w:rsidRDefault="008E286E" w:rsidP="00692AB9">
      <w:pPr>
        <w:keepLines w:val="0"/>
        <w:rPr>
          <w:bCs/>
        </w:rPr>
      </w:pPr>
      <w:r w:rsidRPr="008E286E">
        <w:rPr>
          <w:bCs/>
        </w:rPr>
        <w:t>Business Disability Forum (BDF) is a business membership organisation, representing over 600 businesses. We work with businesses, Government, and disabled people to improve the life experiences of disabled employees and consumers by removing barriers to inclusion. We are focussed on making policy as practical as possible to businesses so they can increase inclusion for disabled people in how they operate. Our policy and research team works with our member businesses, and the disabled people who work in and with them, to discuss and debate policy proposals, identify the challenges, and propose as practical solutions as possible that work for everyone.</w:t>
      </w:r>
    </w:p>
    <w:p w14:paraId="0C112556" w14:textId="77777777" w:rsidR="008E286E" w:rsidRPr="008E286E" w:rsidRDefault="008E286E" w:rsidP="00692AB9">
      <w:pPr>
        <w:keepLines w:val="0"/>
        <w:rPr>
          <w:bCs/>
        </w:rPr>
      </w:pPr>
      <w:r w:rsidRPr="008E286E">
        <w:rPr>
          <w:bCs/>
        </w:rPr>
        <w:t xml:space="preserve">We have been working with our members on disability workforce and pay gap reporting since the previous government’s consultation on disability workforce reporting in 2021. To help us respond to that consultation, we put together a working group of 64 of our member employers to discuss with us their experiences and insights of workforce reporting. That group was so engaged and energetic on the topic that, after having submitted our response to that consultation in April 2022, we decided to keep the group together and gather their views on disability pay gap reporting as well. That working group has stayed together ever since, and it is now BDF’s Disability Data Monitoring Working Group. </w:t>
      </w:r>
    </w:p>
    <w:p w14:paraId="08D1FA62" w14:textId="222936DB" w:rsidR="008E286E" w:rsidRPr="008E286E" w:rsidRDefault="008E286E" w:rsidP="00692AB9">
      <w:pPr>
        <w:keepLines w:val="0"/>
        <w:rPr>
          <w:bCs/>
        </w:rPr>
      </w:pPr>
      <w:r w:rsidRPr="008E286E">
        <w:rPr>
          <w:bCs/>
        </w:rPr>
        <w:t>In March 2025, we produced an 84-page research report, titled</w:t>
      </w:r>
      <w:r w:rsidRPr="008E286E">
        <w:rPr>
          <w:bCs/>
          <w:i/>
          <w:iCs/>
        </w:rPr>
        <w:t xml:space="preserve"> “Towards meaningful disability pay gap reporting: the challenges and unintended consequences”</w:t>
      </w:r>
      <w:r w:rsidRPr="008E286E">
        <w:rPr>
          <w:bCs/>
        </w:rPr>
        <w:t xml:space="preserve">, which documented the work we had undertaken with this working group (and a group of 64 </w:t>
      </w:r>
      <w:r w:rsidRPr="008E286E">
        <w:rPr>
          <w:bCs/>
        </w:rPr>
        <w:lastRenderedPageBreak/>
        <w:t>disabled employees</w:t>
      </w:r>
      <w:r w:rsidRPr="008E286E">
        <w:rPr>
          <w:bCs/>
          <w:vertAlign w:val="superscript"/>
        </w:rPr>
        <w:footnoteReference w:id="1"/>
      </w:r>
      <w:r w:rsidRPr="008E286E">
        <w:rPr>
          <w:bCs/>
        </w:rPr>
        <w:t>) since that initial disability workforce reporting consultation.</w:t>
      </w:r>
      <w:r w:rsidR="000C01BE">
        <w:rPr>
          <w:bCs/>
        </w:rPr>
        <w:t xml:space="preserve"> </w:t>
      </w:r>
      <w:r w:rsidR="000C01BE" w:rsidRPr="003E2FB9">
        <w:rPr>
          <w:b/>
        </w:rPr>
        <w:t xml:space="preserve">We would like that research to be considered as part of this consultation. It can be found here: </w:t>
      </w:r>
      <w:hyperlink r:id="rId12" w:history="1">
        <w:r w:rsidR="000C01BE" w:rsidRPr="003E2FB9">
          <w:rPr>
            <w:rStyle w:val="Hyperlink"/>
            <w:b/>
          </w:rPr>
          <w:t>https://businessdisabilityforum.org.uk/resource/towards-meaningful-disability-workforce-and-pay-gap-reporting/</w:t>
        </w:r>
      </w:hyperlink>
      <w:r w:rsidR="000C01BE" w:rsidRPr="003E2FB9">
        <w:rPr>
          <w:b/>
        </w:rPr>
        <w:t xml:space="preserve"> </w:t>
      </w:r>
    </w:p>
    <w:p w14:paraId="7A7F4688" w14:textId="37F7B063" w:rsidR="008E286E" w:rsidRPr="008E286E" w:rsidRDefault="008E286E" w:rsidP="00692AB9">
      <w:pPr>
        <w:keepLines w:val="0"/>
        <w:rPr>
          <w:bCs/>
        </w:rPr>
      </w:pPr>
      <w:r w:rsidRPr="008E286E">
        <w:rPr>
          <w:bCs/>
        </w:rPr>
        <w:t xml:space="preserve">Although we had just published this research in March this year, we also held two further discussion groups during May 2025 to explore the specific questions posed in this Equality (Race and Disability) Bill consultation. A total of 24 members (referred to as “employers” throughout this response) took part in those two discussion groups. Our response is therefore informed by our published research </w:t>
      </w:r>
      <w:proofErr w:type="gramStart"/>
      <w:r w:rsidRPr="008E286E">
        <w:rPr>
          <w:bCs/>
        </w:rPr>
        <w:t>and also</w:t>
      </w:r>
      <w:proofErr w:type="gramEnd"/>
      <w:r w:rsidRPr="008E286E">
        <w:rPr>
          <w:bCs/>
        </w:rPr>
        <w:t xml:space="preserve"> by the discussion groups for this specific consultation.</w:t>
      </w:r>
      <w:r w:rsidR="00A2438E">
        <w:rPr>
          <w:bCs/>
        </w:rPr>
        <w:t xml:space="preserve"> We have only answered the consultation questions that relate to disability pay gap reporting.</w:t>
      </w:r>
    </w:p>
    <w:p w14:paraId="7FC1D3CD" w14:textId="77777777" w:rsidR="008E286E" w:rsidRPr="008E286E" w:rsidRDefault="008E286E" w:rsidP="00A2438E">
      <w:pPr>
        <w:pStyle w:val="Heading1"/>
        <w:keepLines w:val="0"/>
        <w:spacing w:line="360" w:lineRule="auto"/>
        <w:rPr>
          <w:rFonts w:ascii="Arial" w:hAnsi="Arial" w:cs="Arial"/>
          <w:sz w:val="32"/>
          <w:szCs w:val="28"/>
        </w:rPr>
      </w:pPr>
      <w:r w:rsidRPr="008E286E">
        <w:rPr>
          <w:rFonts w:ascii="Arial" w:hAnsi="Arial" w:cs="Arial"/>
          <w:sz w:val="32"/>
          <w:szCs w:val="28"/>
        </w:rPr>
        <w:t>Extending mandatory pay gap reporting to disability</w:t>
      </w:r>
    </w:p>
    <w:p w14:paraId="49E75E2D" w14:textId="77777777" w:rsidR="008E286E" w:rsidRDefault="008E286E" w:rsidP="00A2438E">
      <w:pPr>
        <w:pStyle w:val="Heading2"/>
        <w:keepLines w:val="0"/>
        <w:spacing w:line="360" w:lineRule="auto"/>
        <w:rPr>
          <w:rFonts w:ascii="Arial" w:hAnsi="Arial" w:cs="Arial"/>
          <w:sz w:val="24"/>
          <w:szCs w:val="24"/>
        </w:rPr>
      </w:pPr>
      <w:r w:rsidRPr="008E286E">
        <w:rPr>
          <w:rFonts w:ascii="Arial" w:hAnsi="Arial" w:cs="Arial"/>
          <w:sz w:val="24"/>
          <w:szCs w:val="24"/>
        </w:rPr>
        <w:t>Question 2: Do you agree or disagree that larger employers should have to report their disability pay gaps?</w:t>
      </w:r>
    </w:p>
    <w:p w14:paraId="4C14C42E" w14:textId="5DE85579" w:rsidR="008E286E" w:rsidRPr="008E286E" w:rsidRDefault="008E286E" w:rsidP="00692AB9">
      <w:pPr>
        <w:keepLines w:val="0"/>
        <w:rPr>
          <w:lang w:val="en-US"/>
        </w:rPr>
      </w:pPr>
      <w:r w:rsidRPr="008E286E">
        <w:rPr>
          <w:lang w:val="en-US"/>
        </w:rPr>
        <w:t xml:space="preserve">Most employers we spoke to are already collecting and/or preparing their disability pay gap data. This means that they (a) are committed to doing it, and (b) can see and experience its limitations. Those two factors co-exist yet they often feel like a tension for policy. In fact, most employers who are already reporting questioned if it has got disability inclusion where it needs to be or whether investment could have been better placed elsewhere in their workforce; those who were the most knowledgeable and the most experienced at analysing and reporting pay gap data and had comparatively good figures </w:t>
      </w:r>
      <w:r w:rsidR="002301BC">
        <w:rPr>
          <w:lang w:val="en-US"/>
        </w:rPr>
        <w:t xml:space="preserve">often </w:t>
      </w:r>
      <w:r w:rsidRPr="008E286E">
        <w:rPr>
          <w:lang w:val="en-US"/>
        </w:rPr>
        <w:t xml:space="preserve">critique reporting by questioning whether those who require it – regulators, boards/directors, and government – are clear what they want it to inform and achieve. </w:t>
      </w:r>
      <w:r w:rsidRPr="008E286E">
        <w:rPr>
          <w:lang w:val="en-US"/>
        </w:rPr>
        <w:lastRenderedPageBreak/>
        <w:t xml:space="preserve">Employers generally agreed that the data can help inform other work but reporting that figure </w:t>
      </w:r>
      <w:r w:rsidR="002301BC">
        <w:rPr>
          <w:lang w:val="en-US"/>
        </w:rPr>
        <w:t>(</w:t>
      </w:r>
      <w:r w:rsidRPr="008E286E">
        <w:rPr>
          <w:lang w:val="en-US"/>
        </w:rPr>
        <w:t>of a pay gap</w:t>
      </w:r>
      <w:r w:rsidR="002301BC">
        <w:rPr>
          <w:lang w:val="en-US"/>
        </w:rPr>
        <w:t xml:space="preserve">) </w:t>
      </w:r>
      <w:r w:rsidRPr="008E286E">
        <w:rPr>
          <w:lang w:val="en-US"/>
        </w:rPr>
        <w:t>in isolation of that other work did not offer much meaning and could be misconstrued.</w:t>
      </w:r>
    </w:p>
    <w:p w14:paraId="53B6FEC3" w14:textId="155B4709" w:rsidR="008E286E" w:rsidRPr="008E286E" w:rsidRDefault="008E286E" w:rsidP="00692AB9">
      <w:pPr>
        <w:keepLines w:val="0"/>
        <w:rPr>
          <w:lang w:val="en-US"/>
        </w:rPr>
      </w:pPr>
      <w:r w:rsidRPr="008E286E">
        <w:rPr>
          <w:lang w:val="en-US"/>
        </w:rPr>
        <w:t xml:space="preserve">Therefore, for our members, it is not a case of whether they agree they should do it: they </w:t>
      </w:r>
      <w:r w:rsidRPr="008E286E">
        <w:rPr>
          <w:i/>
          <w:iCs/>
          <w:lang w:val="en-US"/>
        </w:rPr>
        <w:t xml:space="preserve">are </w:t>
      </w:r>
      <w:r w:rsidRPr="008E286E">
        <w:rPr>
          <w:lang w:val="en-US"/>
        </w:rPr>
        <w:t xml:space="preserve">doing it. The point is that they are not sure </w:t>
      </w:r>
      <w:r w:rsidR="002301BC">
        <w:rPr>
          <w:lang w:val="en-US"/>
        </w:rPr>
        <w:t xml:space="preserve">it is </w:t>
      </w:r>
      <w:r w:rsidRPr="008E286E">
        <w:rPr>
          <w:lang w:val="en-US"/>
        </w:rPr>
        <w:t>the most important driver for making a difference for their disabled employees, and some questioned whether it was driving meaningful changes at all.</w:t>
      </w:r>
    </w:p>
    <w:p w14:paraId="2E5867D1" w14:textId="77777777" w:rsidR="008E286E" w:rsidRPr="008E286E" w:rsidRDefault="008E286E" w:rsidP="00A2438E">
      <w:pPr>
        <w:pStyle w:val="Heading1"/>
        <w:keepLines w:val="0"/>
        <w:spacing w:line="360" w:lineRule="auto"/>
        <w:rPr>
          <w:rFonts w:ascii="Arial" w:hAnsi="Arial" w:cs="Arial"/>
          <w:sz w:val="32"/>
        </w:rPr>
      </w:pPr>
      <w:r w:rsidRPr="008E286E">
        <w:rPr>
          <w:rFonts w:ascii="Arial" w:hAnsi="Arial" w:cs="Arial"/>
          <w:sz w:val="32"/>
        </w:rPr>
        <w:t>Geographical scope</w:t>
      </w:r>
    </w:p>
    <w:p w14:paraId="109382C3"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4: Do you agree or disagree that disability pay gap reporting should have the same geographical scope as gender pay gap reporting?</w:t>
      </w:r>
    </w:p>
    <w:p w14:paraId="060C3169" w14:textId="77777777" w:rsidR="008E286E" w:rsidRPr="008E286E" w:rsidRDefault="008E286E" w:rsidP="00692AB9">
      <w:pPr>
        <w:keepLines w:val="0"/>
        <w:rPr>
          <w:bCs/>
        </w:rPr>
      </w:pPr>
      <w:r w:rsidRPr="008E286E">
        <w:rPr>
          <w:bCs/>
        </w:rPr>
        <w:t xml:space="preserve">It makes sense to follow the same geographic scope if employers </w:t>
      </w:r>
      <w:proofErr w:type="gramStart"/>
      <w:r w:rsidRPr="008E286E">
        <w:rPr>
          <w:bCs/>
        </w:rPr>
        <w:t>have to</w:t>
      </w:r>
      <w:proofErr w:type="gramEnd"/>
      <w:r w:rsidRPr="008E286E">
        <w:rPr>
          <w:bCs/>
        </w:rPr>
        <w:t xml:space="preserve"> report anyway, and this was therefore little discussed as a core issue during the discussion groups. </w:t>
      </w:r>
    </w:p>
    <w:p w14:paraId="1CD02FF6" w14:textId="55C80B58" w:rsidR="008E286E" w:rsidRPr="008E286E" w:rsidRDefault="008E286E" w:rsidP="00692AB9">
      <w:pPr>
        <w:keepLines w:val="0"/>
        <w:rPr>
          <w:bCs/>
        </w:rPr>
      </w:pPr>
      <w:r w:rsidRPr="008E286E">
        <w:rPr>
          <w:bCs/>
        </w:rPr>
        <w:t>The key difference, however, is that gender pay gap reporting is done via payroll and</w:t>
      </w:r>
      <w:r w:rsidR="002301BC">
        <w:rPr>
          <w:bCs/>
        </w:rPr>
        <w:t xml:space="preserve"> is,</w:t>
      </w:r>
      <w:r w:rsidRPr="008E286E">
        <w:rPr>
          <w:bCs/>
        </w:rPr>
        <w:t xml:space="preserve"> therefore</w:t>
      </w:r>
      <w:r w:rsidR="002301BC">
        <w:rPr>
          <w:bCs/>
        </w:rPr>
        <w:t>,</w:t>
      </w:r>
      <w:r w:rsidRPr="008E286E">
        <w:rPr>
          <w:bCs/>
        </w:rPr>
        <w:t xml:space="preserve"> local to a UK PAYE system, whereas many employers currently collect disability workforce data by one central global system. Many large employers would therefore need to purchase another system for UK specific disability workforce and pay gap </w:t>
      </w:r>
      <w:r w:rsidR="00B13A88" w:rsidRPr="008E286E">
        <w:rPr>
          <w:bCs/>
        </w:rPr>
        <w:t>reporting</w:t>
      </w:r>
      <w:r w:rsidR="00B13A88">
        <w:rPr>
          <w:bCs/>
        </w:rPr>
        <w:t xml:space="preserve"> or</w:t>
      </w:r>
      <w:r w:rsidRPr="008E286E">
        <w:rPr>
          <w:bCs/>
        </w:rPr>
        <w:t xml:space="preserve"> undertake a significant and costly project to separate those data collection procedures. </w:t>
      </w:r>
    </w:p>
    <w:p w14:paraId="79CCA749" w14:textId="77777777" w:rsidR="008E286E" w:rsidRPr="008E286E" w:rsidRDefault="008E286E" w:rsidP="00A2438E">
      <w:pPr>
        <w:pStyle w:val="Heading1"/>
        <w:keepLines w:val="0"/>
        <w:spacing w:line="360" w:lineRule="auto"/>
        <w:rPr>
          <w:rFonts w:ascii="Arial" w:hAnsi="Arial" w:cs="Arial"/>
          <w:sz w:val="28"/>
          <w:szCs w:val="28"/>
        </w:rPr>
      </w:pPr>
      <w:r w:rsidRPr="008E286E">
        <w:rPr>
          <w:rFonts w:ascii="Arial" w:hAnsi="Arial" w:cs="Arial"/>
          <w:sz w:val="28"/>
          <w:szCs w:val="28"/>
        </w:rPr>
        <w:t>Pay gap calculations</w:t>
      </w:r>
    </w:p>
    <w:p w14:paraId="3B3AA131"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6: Do you agree or disagree that employers should report the same 6 measures for disability pay gap reporting as for gender pay gap reporting?</w:t>
      </w:r>
    </w:p>
    <w:p w14:paraId="5346B070" w14:textId="0A1CE7CE" w:rsidR="008E286E" w:rsidRPr="008E286E" w:rsidRDefault="008E286E" w:rsidP="00692AB9">
      <w:pPr>
        <w:keepLines w:val="0"/>
        <w:rPr>
          <w:bCs/>
        </w:rPr>
      </w:pPr>
      <w:r w:rsidRPr="008E286E">
        <w:rPr>
          <w:bCs/>
        </w:rPr>
        <w:t>Employers in the groups were generally already cutting data in the ways suggested in the consultation paper. However, during the discussion, most of the discussion was around how much useful information quartiles really give to an employer. Thoughts on this were, however, mixed. Some felt grades were a more meaningful way to cut the data than quartiles</w:t>
      </w:r>
      <w:r w:rsidR="002301BC">
        <w:rPr>
          <w:bCs/>
        </w:rPr>
        <w:t>. In employer’s words:</w:t>
      </w:r>
    </w:p>
    <w:p w14:paraId="59EB9825" w14:textId="77777777" w:rsidR="008E286E" w:rsidRPr="008E286E" w:rsidRDefault="008E286E" w:rsidP="00692AB9">
      <w:pPr>
        <w:keepLines w:val="0"/>
        <w:ind w:left="908"/>
        <w:rPr>
          <w:bCs/>
          <w:i/>
          <w:iCs/>
        </w:rPr>
      </w:pPr>
      <w:r w:rsidRPr="008E286E">
        <w:rPr>
          <w:bCs/>
          <w:i/>
          <w:iCs/>
        </w:rPr>
        <w:lastRenderedPageBreak/>
        <w:t xml:space="preserve">“Measuring by quartile is not always helpful and it is more helpful to measure by grades. We do it [measure by quartiles] because we </w:t>
      </w:r>
      <w:proofErr w:type="gramStart"/>
      <w:r w:rsidRPr="008E286E">
        <w:rPr>
          <w:bCs/>
          <w:i/>
          <w:iCs/>
        </w:rPr>
        <w:t>have to</w:t>
      </w:r>
      <w:proofErr w:type="gramEnd"/>
      <w:r w:rsidRPr="008E286E">
        <w:rPr>
          <w:bCs/>
          <w:i/>
          <w:iCs/>
        </w:rPr>
        <w:t xml:space="preserve"> do it, but grades are more helpful than quartiles”.</w:t>
      </w:r>
    </w:p>
    <w:p w14:paraId="3E38AD04" w14:textId="77777777" w:rsidR="008E286E" w:rsidRPr="008E286E" w:rsidRDefault="008E286E" w:rsidP="00692AB9">
      <w:pPr>
        <w:keepLines w:val="0"/>
        <w:ind w:left="681" w:firstLine="227"/>
        <w:rPr>
          <w:bCs/>
          <w:i/>
          <w:iCs/>
        </w:rPr>
      </w:pPr>
      <w:r w:rsidRPr="008E286E">
        <w:rPr>
          <w:bCs/>
          <w:i/>
          <w:iCs/>
        </w:rPr>
        <w:t>“Quartiles skew the data – is it really telling us anything new?”</w:t>
      </w:r>
    </w:p>
    <w:p w14:paraId="1F5249AC" w14:textId="77777777" w:rsidR="008E286E" w:rsidRPr="008E286E" w:rsidRDefault="008E286E" w:rsidP="00692AB9">
      <w:pPr>
        <w:keepLines w:val="0"/>
        <w:rPr>
          <w:bCs/>
        </w:rPr>
      </w:pPr>
      <w:r w:rsidRPr="008E286E">
        <w:rPr>
          <w:bCs/>
        </w:rPr>
        <w:t>However, another employer said quartiles were helpful:</w:t>
      </w:r>
    </w:p>
    <w:p w14:paraId="32E10F72" w14:textId="77777777" w:rsidR="008E286E" w:rsidRPr="008E286E" w:rsidRDefault="008E286E" w:rsidP="00692AB9">
      <w:pPr>
        <w:keepLines w:val="0"/>
        <w:ind w:left="908"/>
        <w:rPr>
          <w:bCs/>
          <w:i/>
          <w:iCs/>
        </w:rPr>
      </w:pPr>
      <w:r w:rsidRPr="008E286E">
        <w:rPr>
          <w:bCs/>
          <w:i/>
          <w:iCs/>
        </w:rPr>
        <w:t>“I do quartiles – I love them! I cut it and cut it again and see what’s happening. It’s fascinating. It shows inequity.”</w:t>
      </w:r>
    </w:p>
    <w:p w14:paraId="7F1A5895" w14:textId="77777777" w:rsidR="008E286E" w:rsidRPr="008E286E" w:rsidRDefault="008E286E" w:rsidP="00692AB9">
      <w:pPr>
        <w:keepLines w:val="0"/>
        <w:rPr>
          <w:bCs/>
        </w:rPr>
      </w:pPr>
      <w:r w:rsidRPr="008E286E">
        <w:rPr>
          <w:bCs/>
        </w:rPr>
        <w:t>Some in the group questioned how much bonus pay tells an employer and, often, not all roles in an organisation are eligible for bonus pay. Therefore, employers said they need to be able to provide a narrative around bonus payments when they are reported.</w:t>
      </w:r>
    </w:p>
    <w:p w14:paraId="30C559F8" w14:textId="77777777" w:rsidR="008E286E" w:rsidRPr="008E286E" w:rsidRDefault="008E286E" w:rsidP="00692AB9">
      <w:pPr>
        <w:keepLines w:val="0"/>
        <w:rPr>
          <w:bCs/>
        </w:rPr>
      </w:pPr>
      <w:r w:rsidRPr="008E286E">
        <w:rPr>
          <w:bCs/>
        </w:rPr>
        <w:t>Another employer commented that, for resourcing purposes, they felt it was important to just keep to the same measures as per gender pay gap reporting.</w:t>
      </w:r>
    </w:p>
    <w:p w14:paraId="1E195317"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A note on hourly pay methodologies</w:t>
      </w:r>
    </w:p>
    <w:p w14:paraId="4C956495" w14:textId="77777777" w:rsidR="008E286E" w:rsidRPr="008E286E" w:rsidRDefault="008E286E" w:rsidP="00692AB9">
      <w:pPr>
        <w:keepLines w:val="0"/>
        <w:rPr>
          <w:bCs/>
        </w:rPr>
      </w:pPr>
      <w:r w:rsidRPr="008E286E">
        <w:rPr>
          <w:bCs/>
        </w:rPr>
        <w:t>Ordinary pay within the disability pay gap is not currently measured in the same way by every employer and employers’ measurement methods often differ to how the government currently measures it. For example: </w:t>
      </w:r>
    </w:p>
    <w:p w14:paraId="1A40900F" w14:textId="474651D9" w:rsidR="008E286E" w:rsidRPr="008E286E" w:rsidRDefault="008E286E" w:rsidP="00692AB9">
      <w:pPr>
        <w:pStyle w:val="BDFbulletpoints"/>
        <w:keepLines w:val="0"/>
      </w:pPr>
      <w:r w:rsidRPr="008E286E">
        <w:t xml:space="preserve">Some employers think it is right to measure salary by </w:t>
      </w:r>
      <w:r w:rsidRPr="008E286E">
        <w:rPr>
          <w:i/>
          <w:iCs/>
        </w:rPr>
        <w:t>hours worked.</w:t>
      </w:r>
      <w:r w:rsidRPr="008E286E">
        <w:rPr>
          <w:b/>
        </w:rPr>
        <w:t xml:space="preserve"> </w:t>
      </w:r>
      <w:r w:rsidRPr="008E286E">
        <w:t xml:space="preserve">This allows employers to follow up with disabled employees to periodically check they have the opportunities they want </w:t>
      </w:r>
      <w:r w:rsidR="002301BC">
        <w:t>(</w:t>
      </w:r>
      <w:r w:rsidRPr="008E286E">
        <w:t>for example, to work more hours</w:t>
      </w:r>
      <w:r w:rsidR="002301BC">
        <w:t>)</w:t>
      </w:r>
      <w:r w:rsidRPr="008E286E">
        <w:t xml:space="preserve"> or whether they feel they are being denied them. Not recognising measurement in this way could remove a core way that employers currently use to check if disabled employees feel they are not getting promoted or an increase in hours because they are disabled. </w:t>
      </w:r>
    </w:p>
    <w:p w14:paraId="39E34074" w14:textId="77777777" w:rsidR="008E286E" w:rsidRPr="008E286E" w:rsidRDefault="008E286E" w:rsidP="000F42B3">
      <w:pPr>
        <w:pStyle w:val="BDFbulletpoints"/>
      </w:pPr>
      <w:r w:rsidRPr="008E286E">
        <w:lastRenderedPageBreak/>
        <w:t>Some employers feel the disability pay gap should be measured by</w:t>
      </w:r>
      <w:r w:rsidRPr="008E286E">
        <w:rPr>
          <w:i/>
          <w:iCs/>
        </w:rPr>
        <w:t xml:space="preserve"> hourly pay,</w:t>
      </w:r>
      <w:r w:rsidRPr="008E286E">
        <w:t xml:space="preserve"> because one of the most common adjustments requested by disabled employees is a reduction in hours worked. Measuring pay gaps by hourly salary overcomes the issue of employers declining requests for a reduction in hours as an adjustment as this will negatively affect their pay gap. However, it does not help measure how many hours disabled people are working compared to non-disabled people. </w:t>
      </w:r>
    </w:p>
    <w:p w14:paraId="5E2C7409" w14:textId="77777777" w:rsidR="008E286E" w:rsidRPr="008E286E" w:rsidRDefault="008E286E" w:rsidP="00A2438E">
      <w:pPr>
        <w:pStyle w:val="Heading1"/>
        <w:keepLines w:val="0"/>
        <w:spacing w:line="360" w:lineRule="auto"/>
        <w:rPr>
          <w:rFonts w:asciiTheme="minorHAnsi" w:hAnsiTheme="minorHAnsi" w:cstheme="minorHAnsi"/>
          <w:sz w:val="32"/>
        </w:rPr>
      </w:pPr>
      <w:r w:rsidRPr="008E286E">
        <w:rPr>
          <w:rFonts w:asciiTheme="minorHAnsi" w:hAnsiTheme="minorHAnsi" w:cstheme="minorHAnsi"/>
          <w:sz w:val="32"/>
        </w:rPr>
        <w:t>Measuring the pay gap </w:t>
      </w:r>
    </w:p>
    <w:p w14:paraId="6A6C6B90"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8: Do you agree or disagree that large employers should have to report on the breakdown of their workforce by disability status?</w:t>
      </w:r>
    </w:p>
    <w:p w14:paraId="5C675B89" w14:textId="77777777" w:rsidR="008E286E" w:rsidRPr="008E286E" w:rsidRDefault="008E286E" w:rsidP="00692AB9">
      <w:pPr>
        <w:keepLines w:val="0"/>
      </w:pPr>
      <w:r w:rsidRPr="008E286E">
        <w:t xml:space="preserve">Employers are not against doing this, as many are already doing it. But whether they should report by disability status depends on what government is trying to achieve by it. Generally, employers felt they would naturally report the disability status of their workforce by disability as part of reporting the narrative about their disability pay gap. They would certainly need to know (or seek to know) the number of disabled people in their workforce </w:t>
      </w:r>
      <w:proofErr w:type="gramStart"/>
      <w:r w:rsidRPr="008E286E">
        <w:t>in order to</w:t>
      </w:r>
      <w:proofErr w:type="gramEnd"/>
      <w:r w:rsidRPr="008E286E">
        <w:t xml:space="preserve"> calculate a pay gap.</w:t>
      </w:r>
    </w:p>
    <w:p w14:paraId="042F8A03" w14:textId="77777777" w:rsidR="008E286E" w:rsidRPr="008E286E" w:rsidRDefault="008E286E" w:rsidP="00A2438E">
      <w:pPr>
        <w:pStyle w:val="Heading2"/>
        <w:keepLines w:val="0"/>
        <w:spacing w:line="360" w:lineRule="auto"/>
        <w:rPr>
          <w:rFonts w:ascii="Arial" w:hAnsi="Arial" w:cs="Arial"/>
          <w:sz w:val="24"/>
          <w:szCs w:val="24"/>
        </w:rPr>
      </w:pPr>
      <w:r w:rsidRPr="008E286E">
        <w:rPr>
          <w:rFonts w:ascii="Arial" w:hAnsi="Arial" w:cs="Arial"/>
          <w:sz w:val="24"/>
          <w:szCs w:val="24"/>
        </w:rPr>
        <w:t>Question 10: Do you agree or disagree that large employers should have to submit data on the percentage of employees who did not state their disability status?</w:t>
      </w:r>
    </w:p>
    <w:p w14:paraId="2ECE5681" w14:textId="0BB0A63C" w:rsidR="008E286E" w:rsidRPr="008E286E" w:rsidRDefault="008E286E" w:rsidP="00692AB9">
      <w:pPr>
        <w:keepLines w:val="0"/>
      </w:pPr>
      <w:r w:rsidRPr="008E286E">
        <w:t>If employers are to be judged on their figure, they need to be able to show the makeup of the figure. The government has not said it wants employers to reach a specific percentage of disclosures</w:t>
      </w:r>
      <w:r w:rsidR="000C01BE">
        <w:rPr>
          <w:rStyle w:val="FootnoteReference"/>
        </w:rPr>
        <w:footnoteReference w:id="2"/>
      </w:r>
      <w:r w:rsidRPr="008E286E">
        <w:t xml:space="preserve"> before disability pay gap is meaningful. However, this clearly needs to </w:t>
      </w:r>
      <w:r w:rsidRPr="008E286E">
        <w:lastRenderedPageBreak/>
        <w:t xml:space="preserve">happen. When we asked each group what baseline of disclosures from employees they needed to make disability pay gap reporting meaningful, the figure was unanimous: employers need </w:t>
      </w:r>
      <w:r w:rsidR="003D6138" w:rsidRPr="003E2FB9">
        <w:rPr>
          <w:b/>
          <w:bCs/>
        </w:rPr>
        <w:t xml:space="preserve">80-85 per cent </w:t>
      </w:r>
      <w:r w:rsidR="003D6138" w:rsidRPr="003E6693">
        <w:t xml:space="preserve">of their workforce to disclose their disability status (that is, to answer </w:t>
      </w:r>
      <w:r w:rsidR="002301BC">
        <w:t xml:space="preserve">whether </w:t>
      </w:r>
      <w:r w:rsidR="003D6138" w:rsidRPr="003E6693">
        <w:t>they are disabled or not) in a binary wa</w:t>
      </w:r>
      <w:r w:rsidR="00F8640C" w:rsidRPr="003E6693">
        <w:t>y</w:t>
      </w:r>
      <w:r w:rsidR="003D6138" w:rsidRPr="003E6693">
        <w:t xml:space="preserve"> to make disability pay gap reporting from that dataset meaningful and representative.</w:t>
      </w:r>
      <w:r w:rsidRPr="008E286E">
        <w:t xml:space="preserve"> In such cases, employers could have the best will in the world in wanting to collect and report data, but they do not want to put pressure on employees to disclose their disability status who do not feel comfortable in doing so as this does not work towards a safe and inclusive workplace culture, let alone trust between the employer and its (disabled) employees:</w:t>
      </w:r>
    </w:p>
    <w:p w14:paraId="3CD95C4B" w14:textId="77777777" w:rsidR="008E286E" w:rsidRPr="008E286E" w:rsidRDefault="008E286E" w:rsidP="00692AB9">
      <w:pPr>
        <w:keepLines w:val="0"/>
        <w:rPr>
          <w:bCs/>
        </w:rPr>
      </w:pPr>
      <w:r w:rsidRPr="008E286E">
        <w:rPr>
          <w:bCs/>
        </w:rPr>
        <w:t>In one employer’s words:</w:t>
      </w:r>
    </w:p>
    <w:p w14:paraId="79B68362" w14:textId="77777777" w:rsidR="008E286E" w:rsidRPr="008E286E" w:rsidRDefault="008E286E" w:rsidP="00692AB9">
      <w:pPr>
        <w:keepLines w:val="0"/>
        <w:ind w:left="908"/>
        <w:rPr>
          <w:bCs/>
          <w:i/>
          <w:iCs/>
        </w:rPr>
      </w:pPr>
      <w:r w:rsidRPr="008E286E">
        <w:rPr>
          <w:bCs/>
          <w:i/>
          <w:iCs/>
        </w:rPr>
        <w:t>“60 per cent of our organisation have NOT shared whether they have a disability or not, so the data are very much incomplete – which is an issue for the robustness of the pay gap data.”</w:t>
      </w:r>
    </w:p>
    <w:p w14:paraId="69DB3425" w14:textId="77777777" w:rsidR="008E286E" w:rsidRPr="008E286E" w:rsidRDefault="008E286E" w:rsidP="00A2438E">
      <w:pPr>
        <w:pStyle w:val="Heading1"/>
        <w:keepLines w:val="0"/>
        <w:spacing w:line="360" w:lineRule="auto"/>
        <w:rPr>
          <w:rFonts w:asciiTheme="minorHAnsi" w:hAnsiTheme="minorHAnsi" w:cstheme="minorHAnsi"/>
          <w:sz w:val="32"/>
        </w:rPr>
      </w:pPr>
      <w:r w:rsidRPr="008E286E">
        <w:rPr>
          <w:rFonts w:asciiTheme="minorHAnsi" w:hAnsiTheme="minorHAnsi" w:cstheme="minorHAnsi"/>
          <w:sz w:val="32"/>
        </w:rPr>
        <w:t>Action plans</w:t>
      </w:r>
    </w:p>
    <w:p w14:paraId="196C5EDD"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12: Do you agree or disagree that employers should have to produce an action plan about what they are doing to improve workplace equality for disabled employees?</w:t>
      </w:r>
    </w:p>
    <w:p w14:paraId="6D7FFB94" w14:textId="467E7686" w:rsidR="008E286E" w:rsidRPr="008E286E" w:rsidRDefault="008E286E" w:rsidP="00692AB9">
      <w:pPr>
        <w:keepLines w:val="0"/>
        <w:rPr>
          <w:bCs/>
        </w:rPr>
      </w:pPr>
      <w:r w:rsidRPr="008E286E">
        <w:rPr>
          <w:bCs/>
        </w:rPr>
        <w:t xml:space="preserve">The response to this question was unanimous and three-fold. Firstly, that action plans should not be separated by protected characteristics (that is, not having to produce separate action plans for disability, ethnicity, and gender). The narrative around the numbers and what they are telling the employer is essential – the numbers themselves are just a starting point and understanding what they are telling the employer and what they are going to do </w:t>
      </w:r>
      <w:proofErr w:type="gramStart"/>
      <w:r w:rsidRPr="008E286E">
        <w:rPr>
          <w:bCs/>
        </w:rPr>
        <w:t>as a result of</w:t>
      </w:r>
      <w:proofErr w:type="gramEnd"/>
      <w:r w:rsidRPr="008E286E">
        <w:rPr>
          <w:bCs/>
        </w:rPr>
        <w:t xml:space="preserve"> that is critical</w:t>
      </w:r>
      <w:r w:rsidR="002301BC">
        <w:rPr>
          <w:bCs/>
        </w:rPr>
        <w:t>, a</w:t>
      </w:r>
      <w:r w:rsidRPr="008E286E">
        <w:rPr>
          <w:bCs/>
        </w:rPr>
        <w:t xml:space="preserve">nd that should naturally lead to an ongoing cycle of action planning and reporting on progress. This is because many organisations had moved to an intersectional approach to action planning, and to do otherwise was seen </w:t>
      </w:r>
      <w:r w:rsidRPr="008E286E">
        <w:rPr>
          <w:bCs/>
        </w:rPr>
        <w:lastRenderedPageBreak/>
        <w:t>as a regressive move. Another reason was because the key element of what removes barriers for one ‘group’ can often also help another ‘group. In employers’ words:</w:t>
      </w:r>
    </w:p>
    <w:p w14:paraId="61E35EEA" w14:textId="77777777" w:rsidR="008E286E" w:rsidRPr="008E286E" w:rsidRDefault="008E286E" w:rsidP="00692AB9">
      <w:pPr>
        <w:keepLines w:val="0"/>
        <w:ind w:left="681" w:firstLine="227"/>
        <w:rPr>
          <w:bCs/>
          <w:i/>
          <w:iCs/>
        </w:rPr>
      </w:pPr>
      <w:r w:rsidRPr="008E286E">
        <w:rPr>
          <w:bCs/>
          <w:i/>
          <w:iCs/>
        </w:rPr>
        <w:t xml:space="preserve">“Action plans are fine but not for a specific protected characteristic.” </w:t>
      </w:r>
    </w:p>
    <w:p w14:paraId="6ABD247A" w14:textId="77777777" w:rsidR="008E286E" w:rsidRPr="008E286E" w:rsidRDefault="008E286E" w:rsidP="00692AB9">
      <w:pPr>
        <w:keepLines w:val="0"/>
        <w:ind w:left="908"/>
        <w:rPr>
          <w:i/>
          <w:iCs/>
        </w:rPr>
      </w:pPr>
      <w:r w:rsidRPr="008E286E">
        <w:rPr>
          <w:i/>
          <w:iCs/>
        </w:rPr>
        <w:t>“What will improve a disability pay gap – a better culture, better leadership, progression opportunities, removing barriers – all the things that help other protected characteristics too.”</w:t>
      </w:r>
    </w:p>
    <w:p w14:paraId="752D449E" w14:textId="77777777" w:rsidR="008E286E" w:rsidRPr="008E286E" w:rsidRDefault="008E286E" w:rsidP="00692AB9">
      <w:pPr>
        <w:keepLines w:val="0"/>
      </w:pPr>
      <w:r w:rsidRPr="008E286E">
        <w:t>Secondly, if reporting is to be annual, employers felt there should not be a requirement for a new, different action plan every year and instead that is should be an iterative process. This was another area where it was felt the government did not understand how long developing strategies and action plans in large organisations really takes. In employers’ words:</w:t>
      </w:r>
    </w:p>
    <w:p w14:paraId="64AE5B9B" w14:textId="77777777" w:rsidR="008E286E" w:rsidRPr="008E286E" w:rsidRDefault="008E286E" w:rsidP="00692AB9">
      <w:pPr>
        <w:keepLines w:val="0"/>
        <w:ind w:left="908"/>
        <w:rPr>
          <w:i/>
          <w:iCs/>
        </w:rPr>
      </w:pPr>
      <w:r w:rsidRPr="008E286E">
        <w:rPr>
          <w:i/>
          <w:iCs/>
        </w:rPr>
        <w:t>“We have already published our disability pay gap action plan. It has taken us a year to get those actions in place. We can’t just ‘spin up’ a plan. It takes assigning actions, managing accountability for those, and a communications plan. It takes a year just to get everything in place.”</w:t>
      </w:r>
    </w:p>
    <w:p w14:paraId="0FFD2D0B" w14:textId="77777777" w:rsidR="008E286E" w:rsidRPr="008E286E" w:rsidRDefault="008E286E" w:rsidP="00692AB9">
      <w:pPr>
        <w:keepLines w:val="0"/>
        <w:ind w:left="908"/>
        <w:rPr>
          <w:i/>
          <w:iCs/>
        </w:rPr>
      </w:pPr>
      <w:r w:rsidRPr="008E286E">
        <w:rPr>
          <w:i/>
          <w:iCs/>
        </w:rPr>
        <w:t>“It’s just not feasible to review this every year. We do ours every three years. If I was doing this every year, that’s all I’d be doing.”</w:t>
      </w:r>
    </w:p>
    <w:p w14:paraId="7EB5A967" w14:textId="77777777" w:rsidR="008E286E" w:rsidRPr="008E286E" w:rsidRDefault="008E286E" w:rsidP="00692AB9">
      <w:pPr>
        <w:keepLines w:val="0"/>
      </w:pPr>
      <w:r w:rsidRPr="008E286E">
        <w:t>Lastly, it was felt that there needs to be guidance and quality assurance of action plans. Employers commented that “gender pay gap action plans really vary” so they must not become a meaningless tick box exercise for employers to have to produce if the government was not going to review their quality (and ensured that they were being fulfilled by the employer).</w:t>
      </w:r>
    </w:p>
    <w:p w14:paraId="1A30CD48" w14:textId="77777777" w:rsidR="008E286E" w:rsidRPr="008E286E" w:rsidRDefault="008E286E" w:rsidP="00A2438E">
      <w:pPr>
        <w:pStyle w:val="Heading1"/>
        <w:keepLines w:val="0"/>
        <w:spacing w:line="360" w:lineRule="auto"/>
        <w:rPr>
          <w:rFonts w:asciiTheme="minorHAnsi" w:hAnsiTheme="minorHAnsi" w:cstheme="minorHAnsi"/>
          <w:sz w:val="32"/>
        </w:rPr>
      </w:pPr>
      <w:r w:rsidRPr="008E286E">
        <w:rPr>
          <w:rFonts w:asciiTheme="minorHAnsi" w:hAnsiTheme="minorHAnsi" w:cstheme="minorHAnsi"/>
          <w:sz w:val="32"/>
        </w:rPr>
        <w:lastRenderedPageBreak/>
        <w:t>Additional reporting requirements for public bodies</w:t>
      </w:r>
    </w:p>
    <w:p w14:paraId="5D3FF62E"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16: Do you agree or disagree that public bodies should have to report on pay differences between disabled and non disabled employees, by grade and/or salary bands?</w:t>
      </w:r>
    </w:p>
    <w:p w14:paraId="79D4374C"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17: Do you agree or disagree that public bodies should have to report on recruitment, retention and progression by disability?</w:t>
      </w:r>
    </w:p>
    <w:p w14:paraId="5D5A50B9"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18: If public bodies have to report on recruitment, retention and progression by disability, what data do you think they should have to report?</w:t>
      </w:r>
    </w:p>
    <w:p w14:paraId="6CD7BB9F" w14:textId="35B03036" w:rsidR="008E286E" w:rsidRPr="008E286E" w:rsidRDefault="008E286E" w:rsidP="00692AB9">
      <w:pPr>
        <w:keepLines w:val="0"/>
      </w:pPr>
      <w:r w:rsidRPr="008E286E">
        <w:t xml:space="preserve">Public sector </w:t>
      </w:r>
      <w:r w:rsidR="002301BC">
        <w:t>employers</w:t>
      </w:r>
      <w:r w:rsidRPr="008E286E">
        <w:t xml:space="preserve"> said they already do this via sector regulatory reporting and via the</w:t>
      </w:r>
      <w:r w:rsidR="002301BC">
        <w:t>ir</w:t>
      </w:r>
      <w:r w:rsidRPr="008E286E">
        <w:t xml:space="preserve"> Public Sector Equality Duties, so there were not a lot of strong views here. There were comments that these datasets can vary in number though, and the data can be small to the point of questioning the meaning they would provide. In one employer’s words:</w:t>
      </w:r>
    </w:p>
    <w:p w14:paraId="2B45AA9D" w14:textId="77777777" w:rsidR="008E286E" w:rsidRPr="008E286E" w:rsidRDefault="008E286E" w:rsidP="000F42B3">
      <w:pPr>
        <w:keepLines w:val="0"/>
        <w:ind w:left="454"/>
        <w:rPr>
          <w:i/>
          <w:iCs/>
        </w:rPr>
      </w:pPr>
      <w:r w:rsidRPr="008E286E">
        <w:rPr>
          <w:i/>
          <w:iCs/>
        </w:rPr>
        <w:t>“We already report people applying for jobs. What we don’t do well is retention and promotion, because the numbers are small. The quality of the data would be in question”.</w:t>
      </w:r>
    </w:p>
    <w:p w14:paraId="2AAF1996" w14:textId="77777777" w:rsidR="008E286E" w:rsidRPr="008E286E" w:rsidRDefault="008E286E" w:rsidP="00A2438E">
      <w:pPr>
        <w:pStyle w:val="Heading1"/>
        <w:keepLines w:val="0"/>
        <w:spacing w:line="360" w:lineRule="auto"/>
        <w:rPr>
          <w:rFonts w:asciiTheme="minorHAnsi" w:hAnsiTheme="minorHAnsi" w:cstheme="minorHAnsi"/>
          <w:sz w:val="32"/>
        </w:rPr>
      </w:pPr>
      <w:r w:rsidRPr="008E286E">
        <w:rPr>
          <w:rFonts w:asciiTheme="minorHAnsi" w:hAnsiTheme="minorHAnsi" w:cstheme="minorHAnsi"/>
          <w:sz w:val="32"/>
        </w:rPr>
        <w:t>Dates and deadlines </w:t>
      </w:r>
    </w:p>
    <w:p w14:paraId="1A754D16"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20: Do you agree or disagree that disability pay gap reporting should have the same reporting dates as gender pay gap reporting?</w:t>
      </w:r>
    </w:p>
    <w:p w14:paraId="211B044F" w14:textId="77777777" w:rsidR="008E286E" w:rsidRPr="008E286E" w:rsidRDefault="008E286E" w:rsidP="00692AB9">
      <w:pPr>
        <w:keepLines w:val="0"/>
        <w:rPr>
          <w:lang w:val="en-US"/>
        </w:rPr>
      </w:pPr>
      <w:r w:rsidRPr="008E286E">
        <w:rPr>
          <w:lang w:val="en-US"/>
        </w:rPr>
        <w:t xml:space="preserve">Employers told us that answers to this question depends on two factors: firstly, the size and human resource for reporting within an organisation, and secondly, the capability of the reporting system that an organisation has. The smaller organisations (but still with over 250 employers) said it would help to have deadlines spread out to help them manage resources, but larger businesses said it would be easier to do all reporting at the same time. </w:t>
      </w:r>
    </w:p>
    <w:p w14:paraId="248110D6" w14:textId="77777777" w:rsidR="008E286E" w:rsidRPr="008E286E" w:rsidRDefault="008E286E" w:rsidP="00692AB9">
      <w:pPr>
        <w:keepLines w:val="0"/>
        <w:rPr>
          <w:lang w:val="en-US"/>
        </w:rPr>
      </w:pPr>
      <w:r w:rsidRPr="008E286E">
        <w:rPr>
          <w:lang w:val="en-US"/>
        </w:rPr>
        <w:lastRenderedPageBreak/>
        <w:t xml:space="preserve">Overall, it was felt that, </w:t>
      </w:r>
      <w:proofErr w:type="gramStart"/>
      <w:r w:rsidRPr="008E286E">
        <w:rPr>
          <w:lang w:val="en-US"/>
        </w:rPr>
        <w:t>as long as</w:t>
      </w:r>
      <w:proofErr w:type="gramEnd"/>
      <w:r w:rsidRPr="008E286E">
        <w:rPr>
          <w:lang w:val="en-US"/>
        </w:rPr>
        <w:t xml:space="preserve"> the same type of pay data was collected for each protected characteristic (disability, ethnicity, gender), it would be fine for the deadlines to be the same. This would also help if equality </w:t>
      </w:r>
      <w:proofErr w:type="gramStart"/>
      <w:r w:rsidRPr="008E286E">
        <w:rPr>
          <w:lang w:val="en-US"/>
        </w:rPr>
        <w:t>plans</w:t>
      </w:r>
      <w:proofErr w:type="gramEnd"/>
      <w:r w:rsidRPr="008E286E">
        <w:rPr>
          <w:lang w:val="en-US"/>
        </w:rPr>
        <w:t xml:space="preserve"> become singular (see response to question 12).</w:t>
      </w:r>
    </w:p>
    <w:p w14:paraId="066F95D2"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22: Do you agree or disagree that the disability pay gap data should be reported online in a similar way to the gender pay gap service?</w:t>
      </w:r>
    </w:p>
    <w:p w14:paraId="01D355FC" w14:textId="77777777" w:rsidR="008E286E" w:rsidRPr="008E286E" w:rsidRDefault="008E286E" w:rsidP="00692AB9">
      <w:pPr>
        <w:keepLines w:val="0"/>
        <w:rPr>
          <w:bCs/>
        </w:rPr>
      </w:pPr>
      <w:r w:rsidRPr="008E286E">
        <w:rPr>
          <w:bCs/>
        </w:rPr>
        <w:t>Employers agreed with this but unanimously agreed that they wanted to be able to submit a narrative to explain any reasons or anomalies in their data. The context – what the numbers are telling them – is crucial. These explanations are separate to the type of narrative needed in an action plan.</w:t>
      </w:r>
    </w:p>
    <w:p w14:paraId="23965CF8" w14:textId="77777777" w:rsidR="008E286E" w:rsidRPr="008E286E" w:rsidRDefault="008E286E" w:rsidP="00A2438E">
      <w:pPr>
        <w:pStyle w:val="Heading1"/>
        <w:keepLines w:val="0"/>
        <w:spacing w:line="360" w:lineRule="auto"/>
        <w:rPr>
          <w:rFonts w:ascii="Arial" w:hAnsi="Arial" w:cs="Arial"/>
          <w:sz w:val="32"/>
        </w:rPr>
      </w:pPr>
      <w:r w:rsidRPr="008E286E">
        <w:rPr>
          <w:rFonts w:ascii="Arial" w:hAnsi="Arial" w:cs="Arial"/>
          <w:sz w:val="32"/>
        </w:rPr>
        <w:t>Enforcement</w:t>
      </w:r>
    </w:p>
    <w:p w14:paraId="5A796751"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24: Do you agree or disagree that disability pay gap reporting should have the same enforcement policy as gender pay gap reporting?</w:t>
      </w:r>
    </w:p>
    <w:p w14:paraId="7E7D7B5E" w14:textId="77777777" w:rsidR="008E286E" w:rsidRPr="008E286E" w:rsidRDefault="008E286E" w:rsidP="00692AB9">
      <w:pPr>
        <w:keepLines w:val="0"/>
        <w:rPr>
          <w:bCs/>
        </w:rPr>
      </w:pPr>
      <w:r w:rsidRPr="008E286E">
        <w:rPr>
          <w:bCs/>
        </w:rPr>
        <w:t>Employers did not feel enforcement consistently happens currently for gender pay gap reporting. If the government goes to the lengths of introducing legislation requiring reporting, requiring employers to finance and resources these requirements, and the government believes reporting is the correct intervention for the problem they are trying to solve, they need to resource enforcement. Currently members commented that gender pay gap has asked employers to commit with time, resources, and money, but the government has not done the same. Two employers commented:</w:t>
      </w:r>
    </w:p>
    <w:p w14:paraId="2EF2C966" w14:textId="77777777" w:rsidR="008E286E" w:rsidRPr="008E286E" w:rsidRDefault="008E286E" w:rsidP="00692AB9">
      <w:pPr>
        <w:keepLines w:val="0"/>
        <w:ind w:left="681" w:firstLine="227"/>
        <w:rPr>
          <w:bCs/>
          <w:i/>
          <w:iCs/>
        </w:rPr>
      </w:pPr>
      <w:r w:rsidRPr="008E286E">
        <w:rPr>
          <w:bCs/>
          <w:i/>
          <w:iCs/>
        </w:rPr>
        <w:t>“If you don’t report your gender pay gap, nothing happens.”</w:t>
      </w:r>
      <w:r w:rsidRPr="008E286E">
        <w:rPr>
          <w:bCs/>
          <w:i/>
          <w:iCs/>
        </w:rPr>
        <w:tab/>
      </w:r>
    </w:p>
    <w:p w14:paraId="33251876" w14:textId="77777777" w:rsidR="008E286E" w:rsidRPr="008E286E" w:rsidRDefault="008E286E" w:rsidP="00692AB9">
      <w:pPr>
        <w:keepLines w:val="0"/>
        <w:ind w:left="908"/>
        <w:rPr>
          <w:bCs/>
          <w:i/>
          <w:iCs/>
        </w:rPr>
      </w:pPr>
      <w:r w:rsidRPr="008E286E">
        <w:rPr>
          <w:bCs/>
          <w:i/>
          <w:iCs/>
        </w:rPr>
        <w:t>“There is little progress on gender pay gap reporting because there is little enforcement.”</w:t>
      </w:r>
    </w:p>
    <w:p w14:paraId="31282881" w14:textId="77777777" w:rsidR="008E286E" w:rsidRPr="008E286E" w:rsidRDefault="008E286E" w:rsidP="00A2438E">
      <w:pPr>
        <w:pStyle w:val="Heading1"/>
        <w:keepLines w:val="0"/>
        <w:spacing w:line="360" w:lineRule="auto"/>
        <w:rPr>
          <w:rFonts w:asciiTheme="minorHAnsi" w:hAnsiTheme="minorHAnsi" w:cstheme="minorHAnsi"/>
          <w:sz w:val="32"/>
        </w:rPr>
      </w:pPr>
      <w:r w:rsidRPr="008E286E">
        <w:rPr>
          <w:rFonts w:asciiTheme="minorHAnsi" w:hAnsiTheme="minorHAnsi" w:cstheme="minorHAnsi"/>
          <w:sz w:val="32"/>
        </w:rPr>
        <w:lastRenderedPageBreak/>
        <w:t>Disability: data collection and calculations</w:t>
      </w:r>
    </w:p>
    <w:p w14:paraId="6CA6BB32" w14:textId="77777777" w:rsidR="008E286E" w:rsidRPr="008E286E" w:rsidRDefault="008E286E" w:rsidP="00A2438E">
      <w:pPr>
        <w:pStyle w:val="Heading2"/>
        <w:keepLines w:val="0"/>
        <w:spacing w:line="360" w:lineRule="auto"/>
        <w:rPr>
          <w:rFonts w:asciiTheme="minorHAnsi" w:hAnsiTheme="minorHAnsi" w:cstheme="minorHAnsi"/>
          <w:sz w:val="24"/>
          <w:szCs w:val="24"/>
        </w:rPr>
      </w:pPr>
      <w:r w:rsidRPr="008E286E">
        <w:rPr>
          <w:rFonts w:asciiTheme="minorHAnsi" w:hAnsiTheme="minorHAnsi" w:cstheme="minorHAnsi"/>
          <w:sz w:val="24"/>
          <w:szCs w:val="24"/>
        </w:rPr>
        <w:t>Question 31. Do you have any feedback on our proposal to use the Equality Act 2010 definition of ‘disability’ for pay gap reporting?</w:t>
      </w:r>
    </w:p>
    <w:p w14:paraId="5368614D" w14:textId="77777777" w:rsidR="008E286E" w:rsidRPr="008E286E" w:rsidRDefault="008E286E" w:rsidP="00692AB9">
      <w:pPr>
        <w:keepLines w:val="0"/>
      </w:pPr>
      <w:r w:rsidRPr="008E286E">
        <w:t xml:space="preserve">BDF has worked for decades to move employers away from focussing on the legal definition of disability as per the Equality Act 2010. This is because many employers overlook their legal duty to make reasonable adjustments when they focus on the legal definition, for the very reason that no one other than a court of law can decide whether an individual has a disability as per the Equality Act 2010 at any one time. That definition was created for the purpose of court, a legal procedure, and was not developed for use by employers. </w:t>
      </w:r>
    </w:p>
    <w:p w14:paraId="6669B5CA" w14:textId="77777777" w:rsidR="008E286E" w:rsidRPr="008E286E" w:rsidRDefault="008E286E" w:rsidP="00692AB9">
      <w:pPr>
        <w:keepLines w:val="0"/>
      </w:pPr>
      <w:r w:rsidRPr="008E286E">
        <w:t xml:space="preserve">Neither is the Equality Act definition favoured by disabled employees. Disabled employees have often, for years, told us that disability is not a binary experience that fits into static categories or definitions. In our research, </w:t>
      </w:r>
      <w:r w:rsidRPr="008E286E">
        <w:rPr>
          <w:i/>
          <w:iCs/>
        </w:rPr>
        <w:t xml:space="preserve">“The Great Big Workplace Adjustments Survey” </w:t>
      </w:r>
      <w:r w:rsidRPr="008E286E">
        <w:t xml:space="preserve">(2023), we found that the legal definition typically does not work for many groups, including the following: </w:t>
      </w:r>
    </w:p>
    <w:p w14:paraId="006FF907" w14:textId="77777777" w:rsidR="008E286E" w:rsidRPr="008E286E" w:rsidRDefault="008E286E" w:rsidP="00692AB9">
      <w:pPr>
        <w:pStyle w:val="BDFbulletpoints"/>
      </w:pPr>
      <w:r w:rsidRPr="008E286E">
        <w:t xml:space="preserve">People who believed they might have a neurodiverse condition but are in a 2-3 year long waiting lists for a diagnosis. </w:t>
      </w:r>
    </w:p>
    <w:p w14:paraId="62B13192" w14:textId="77777777" w:rsidR="008E286E" w:rsidRPr="008E286E" w:rsidRDefault="008E286E" w:rsidP="00692AB9">
      <w:pPr>
        <w:pStyle w:val="BDFbulletpoints"/>
      </w:pPr>
      <w:r w:rsidRPr="008E286E">
        <w:t xml:space="preserve">People who experience multiple barriers at work and who need to work differently (that is, they need adjustments from their employer) before they know or have a narrative for what is happening to them. We often hear this from people with Multiple Sclerosis (MS) or fibromyalgia who say their diagnosis takes between 18 months and 4 years to be confirmed.  </w:t>
      </w:r>
    </w:p>
    <w:p w14:paraId="42C79870" w14:textId="77777777" w:rsidR="008E286E" w:rsidRPr="008E286E" w:rsidRDefault="008E286E" w:rsidP="00692AB9">
      <w:pPr>
        <w:pStyle w:val="BDFbulletpoints"/>
      </w:pPr>
      <w:r w:rsidRPr="008E286E">
        <w:lastRenderedPageBreak/>
        <w:t xml:space="preserve">People with HIV and cancer, who said they have no symptoms or barriers now at the time of diagnosis, even though they know they will have many symptoms in the future. In addition, even though people in this group are definitively covered by the Equality Act 2010 from the point of diagnosis, people in this group told us they would not think to say they have a disability while they do not experience symptoms. </w:t>
      </w:r>
    </w:p>
    <w:p w14:paraId="7E2FE34A" w14:textId="77777777" w:rsidR="008E286E" w:rsidRPr="008E286E" w:rsidRDefault="008E286E" w:rsidP="00692AB9">
      <w:pPr>
        <w:keepLines w:val="0"/>
        <w:rPr>
          <w:b/>
        </w:rPr>
      </w:pPr>
      <w:r w:rsidRPr="008E286E">
        <w:t>A way forward could be to ask employers to report the number of disabled people they employ, their disability pay gap, and the definition of disability by which they use to report. This allows organisations to keep their brand “tone” and the language they have co-produced with disabled employees internally. It also prevents the issue of employers who have been collecting data for years from effectively having to hit ‘delete’ on their data so far and start recollecting “from scratch” and risk losing the trust that they have worked hard to build.</w:t>
      </w:r>
      <w:r w:rsidRPr="008E286E">
        <w:rPr>
          <w:b/>
        </w:rPr>
        <w:t xml:space="preserve"> </w:t>
      </w:r>
    </w:p>
    <w:p w14:paraId="0E2F8F96" w14:textId="1B38A1D3" w:rsidR="008E286E" w:rsidRPr="008E286E" w:rsidRDefault="008E286E" w:rsidP="00692AB9">
      <w:pPr>
        <w:keepLines w:val="0"/>
      </w:pPr>
      <w:r w:rsidRPr="008E286E">
        <w:t xml:space="preserve">We understand the drive towards standardisation of data in being able to compare employers’ figures on a “like for like” basis; however, we recommend that instead government asks employers to report the number of disabled people they employ, their disability pay gap, and the definition in which they report by. If standardisation is pursued, then it will be </w:t>
      </w:r>
      <w:proofErr w:type="gramStart"/>
      <w:r w:rsidRPr="008E286E">
        <w:t>real</w:t>
      </w:r>
      <w:r w:rsidR="002301BC">
        <w:t>l</w:t>
      </w:r>
      <w:r w:rsidRPr="008E286E">
        <w:t>y important</w:t>
      </w:r>
      <w:proofErr w:type="gramEnd"/>
      <w:r w:rsidRPr="008E286E">
        <w:t xml:space="preserve"> that </w:t>
      </w:r>
      <w:r w:rsidR="002301BC">
        <w:t>g</w:t>
      </w:r>
      <w:r w:rsidRPr="008E286E">
        <w:t xml:space="preserve">overnment works with employers to establish an agreed definition for reporting that takes on board the learning from employers who have been doing this for a long time and have co-produced definitions with their disabled employees. Alongside this, there needs to be a transition period to allow time for employers using a different methodology to gradually move to the standardised definition so that they can take people with them. </w:t>
      </w:r>
    </w:p>
    <w:p w14:paraId="51A43127" w14:textId="77777777" w:rsidR="008E286E" w:rsidRPr="0078285B" w:rsidRDefault="008E286E" w:rsidP="00A2438E">
      <w:pPr>
        <w:pStyle w:val="Heading3"/>
        <w:keepLines w:val="0"/>
        <w:spacing w:line="360" w:lineRule="auto"/>
        <w:rPr>
          <w:rFonts w:asciiTheme="minorHAnsi" w:hAnsiTheme="minorHAnsi" w:cstheme="minorHAnsi"/>
        </w:rPr>
      </w:pPr>
      <w:r w:rsidRPr="0078285B">
        <w:rPr>
          <w:rFonts w:asciiTheme="minorHAnsi" w:hAnsiTheme="minorHAnsi" w:cstheme="minorHAnsi"/>
        </w:rPr>
        <w:t>Reporting by subcategory and the GSS impairment harmonised standard</w:t>
      </w:r>
    </w:p>
    <w:p w14:paraId="22FE7FD5" w14:textId="1C431C97" w:rsidR="008E286E" w:rsidRPr="008E286E" w:rsidRDefault="008E286E" w:rsidP="00692AB9">
      <w:pPr>
        <w:keepLines w:val="0"/>
      </w:pPr>
      <w:r w:rsidRPr="008E286E">
        <w:t>We agree that employers should not be required to collect data about different subcategorises and types of disabilities. Whilst we know there are multiple gaps that sit underneath the headline disability employment gap figure</w:t>
      </w:r>
      <w:r w:rsidR="002301BC">
        <w:t xml:space="preserve"> at labour market level</w:t>
      </w:r>
      <w:r w:rsidRPr="008E286E">
        <w:t xml:space="preserve">, asking employees to categorisation themselves into granular categories </w:t>
      </w:r>
      <w:r w:rsidR="002301BC">
        <w:t xml:space="preserve">in a workforce setting </w:t>
      </w:r>
      <w:r w:rsidRPr="008E286E">
        <w:lastRenderedPageBreak/>
        <w:t>does not reflect their lived experience and can feel reductive or simply mean that people do not identify with any of the categories available.</w:t>
      </w:r>
    </w:p>
    <w:p w14:paraId="187ADFFB" w14:textId="1C3A52FC" w:rsidR="008E286E" w:rsidRPr="008E286E" w:rsidRDefault="008E286E" w:rsidP="00692AB9">
      <w:pPr>
        <w:keepLines w:val="0"/>
      </w:pPr>
      <w:r w:rsidRPr="008E286E">
        <w:t>We do not believe the GSS harmonised standard is the right way to capture data. BDF (and other disability organisations) were involved when this was being created</w:t>
      </w:r>
      <w:r w:rsidR="005B0863">
        <w:t>,</w:t>
      </w:r>
      <w:r w:rsidRPr="008E286E">
        <w:t xml:space="preserve"> and our advice then was that it is not reflective of </w:t>
      </w:r>
      <w:r w:rsidR="005B0863">
        <w:t xml:space="preserve">the </w:t>
      </w:r>
      <w:r w:rsidRPr="008E286E">
        <w:t>diversity of disability and is unlikely to capture a balanced categorisation of disabilities. In addition, it uses an outdated and stigmatised stereotype of autism which relates all people with those conditions to having “social and behavioural” elements of the condition. Employers across our membership who already use this framework often get push back from internal staff disability networks, and particularly from employees with neurodiverse conditions. Asking employers to collect data to this framework would be a “backwards step” for framing disability in workplaces.</w:t>
      </w:r>
    </w:p>
    <w:p w14:paraId="3CEF4C3E" w14:textId="77777777" w:rsidR="008E286E" w:rsidRPr="008E286E" w:rsidRDefault="008E286E" w:rsidP="00692AB9">
      <w:pPr>
        <w:keepLines w:val="0"/>
      </w:pPr>
      <w:r w:rsidRPr="008E286E">
        <w:t xml:space="preserve">Disabled employees said they had instead appreciated when their employer had co-produced a definition of disability with them and their disabled employee network, and they did not want to undo this. One employer said that were using the legal definition of disability and had 6 per cent of employees told them they had a disability. When they co-produced the wording with disabled employees, that percentage increased to 16 per cent. It wasn’t just about the wording; it was about the trust that rigorous engagement between the employer and disabled employees nurtured. </w:t>
      </w:r>
    </w:p>
    <w:p w14:paraId="434CB8DF" w14:textId="1C235F64" w:rsidR="008E286E" w:rsidRPr="008E286E" w:rsidRDefault="008E286E" w:rsidP="00692AB9">
      <w:pPr>
        <w:keepLines w:val="0"/>
      </w:pPr>
      <w:r w:rsidRPr="008E286E">
        <w:t>We also have evidence that people with neurodiverse conditions – particularly autism and ADHD – can often struggle to engage with the idea of</w:t>
      </w:r>
      <w:r w:rsidR="005B0863">
        <w:t xml:space="preserve"> disability-related </w:t>
      </w:r>
      <w:r w:rsidRPr="008E286E">
        <w:t>categorisation</w:t>
      </w:r>
      <w:r w:rsidR="005B0863">
        <w:t>s</w:t>
      </w:r>
      <w:r w:rsidRPr="008E286E">
        <w:t xml:space="preserve">, and reporting is </w:t>
      </w:r>
      <w:r w:rsidR="005B0863">
        <w:t xml:space="preserve">therefore </w:t>
      </w:r>
      <w:r w:rsidRPr="008E286E">
        <w:t>often lower from that group unless they can enter their condition in free text spaces.</w:t>
      </w:r>
      <w:r w:rsidR="005B0863">
        <w:rPr>
          <w:rStyle w:val="FootnoteReference"/>
        </w:rPr>
        <w:footnoteReference w:id="3"/>
      </w:r>
    </w:p>
    <w:p w14:paraId="715D0E63" w14:textId="77777777" w:rsidR="008E286E" w:rsidRPr="0078285B" w:rsidRDefault="008E286E" w:rsidP="00A2438E">
      <w:pPr>
        <w:pStyle w:val="Heading2"/>
        <w:keepLines w:val="0"/>
        <w:spacing w:line="360" w:lineRule="auto"/>
        <w:rPr>
          <w:rFonts w:ascii="Arial" w:hAnsi="Arial" w:cs="Arial"/>
          <w:sz w:val="24"/>
          <w:szCs w:val="24"/>
        </w:rPr>
      </w:pPr>
      <w:r w:rsidRPr="0078285B">
        <w:rPr>
          <w:rFonts w:ascii="Arial" w:hAnsi="Arial" w:cs="Arial"/>
          <w:sz w:val="24"/>
          <w:szCs w:val="24"/>
        </w:rPr>
        <w:lastRenderedPageBreak/>
        <w:t>Question 32: Do you agree or disagree that there should be at least 10 employees in each group being compared (for example, disabled and non-disabled employees)? This would avoid disclosing information about individual employees.</w:t>
      </w:r>
    </w:p>
    <w:p w14:paraId="19FDE1D4" w14:textId="37EEDAFF" w:rsidR="008E286E" w:rsidRPr="008E286E" w:rsidRDefault="005B0863" w:rsidP="00692AB9">
      <w:pPr>
        <w:keepLines w:val="0"/>
      </w:pPr>
      <w:r>
        <w:t xml:space="preserve">There were a range of responses to this question. </w:t>
      </w:r>
      <w:r w:rsidR="008E286E" w:rsidRPr="008E286E">
        <w:t xml:space="preserve">One employer said they do not report under 5, </w:t>
      </w:r>
      <w:r>
        <w:t>and</w:t>
      </w:r>
      <w:r w:rsidR="008E286E" w:rsidRPr="008E286E">
        <w:t xml:space="preserve"> others said their legal teams advise not reporting numbers below 40 or 50. </w:t>
      </w:r>
      <w:r w:rsidR="008E286E" w:rsidRPr="003E6693">
        <w:t xml:space="preserve">BDF would </w:t>
      </w:r>
      <w:r w:rsidR="003D6138" w:rsidRPr="003E6693">
        <w:t xml:space="preserve">advise that numbers </w:t>
      </w:r>
      <w:r w:rsidR="003D6138" w:rsidRPr="003E2FB9">
        <w:rPr>
          <w:b/>
          <w:bCs/>
        </w:rPr>
        <w:t xml:space="preserve">below 50 </w:t>
      </w:r>
      <w:r w:rsidR="003D6138" w:rsidRPr="003E6693">
        <w:t>are not reported on, particularly in the context of only large organisations having to report and where a binary approach i</w:t>
      </w:r>
      <w:r w:rsidR="00CC6D44" w:rsidRPr="003E6693">
        <w:t>s</w:t>
      </w:r>
      <w:r w:rsidR="003D6138" w:rsidRPr="003E6693">
        <w:t xml:space="preserve"> the methodology favoured by the government. This also follows the government’s own guidance on measuring ethnicity pay gaps</w:t>
      </w:r>
      <w:r w:rsidR="003D6138" w:rsidRPr="003E6693">
        <w:rPr>
          <w:rStyle w:val="FootnoteReference"/>
        </w:rPr>
        <w:footnoteReference w:id="4"/>
      </w:r>
      <w:r w:rsidR="003D6138" w:rsidRPr="003E6693">
        <w:t xml:space="preserve"> and good practice from other organisations who specialise in workforce data analysis and reporting.</w:t>
      </w:r>
    </w:p>
    <w:p w14:paraId="3BCD5137" w14:textId="77777777" w:rsidR="008E286E" w:rsidRPr="0078285B" w:rsidRDefault="008E286E" w:rsidP="00A2438E">
      <w:pPr>
        <w:pStyle w:val="Heading2"/>
        <w:keepLines w:val="0"/>
        <w:spacing w:line="360" w:lineRule="auto"/>
        <w:rPr>
          <w:rFonts w:asciiTheme="minorHAnsi" w:hAnsiTheme="minorHAnsi" w:cstheme="minorHAnsi"/>
          <w:sz w:val="24"/>
          <w:szCs w:val="24"/>
        </w:rPr>
      </w:pPr>
      <w:r w:rsidRPr="0078285B">
        <w:rPr>
          <w:rFonts w:asciiTheme="minorHAnsi" w:hAnsiTheme="minorHAnsi" w:cstheme="minorHAnsi"/>
          <w:sz w:val="24"/>
          <w:szCs w:val="24"/>
        </w:rPr>
        <w:t>Question 33: Is there anything else you want to tell us about disability pay gap reporting?</w:t>
      </w:r>
    </w:p>
    <w:p w14:paraId="4EB18498" w14:textId="77777777" w:rsidR="008E286E" w:rsidRPr="008E286E" w:rsidRDefault="008E286E" w:rsidP="00692AB9">
      <w:pPr>
        <w:keepLines w:val="0"/>
        <w:rPr>
          <w:lang w:val="en-US"/>
        </w:rPr>
      </w:pPr>
      <w:r w:rsidRPr="008E286E">
        <w:rPr>
          <w:lang w:val="en-US"/>
        </w:rPr>
        <w:t>Employers told us about other comments and questions that were not covered elsewhere in the consultation paper. We have covered them in turn in this section.</w:t>
      </w:r>
    </w:p>
    <w:p w14:paraId="0B389E5A" w14:textId="77777777" w:rsidR="008E286E" w:rsidRPr="0078285B" w:rsidRDefault="008E286E" w:rsidP="00A2438E">
      <w:pPr>
        <w:pStyle w:val="Heading3"/>
        <w:keepLines w:val="0"/>
        <w:spacing w:line="360" w:lineRule="auto"/>
        <w:rPr>
          <w:rFonts w:asciiTheme="minorHAnsi" w:hAnsiTheme="minorHAnsi" w:cstheme="minorHAnsi"/>
          <w:color w:val="4D4F53" w:themeColor="text1"/>
        </w:rPr>
      </w:pPr>
      <w:r w:rsidRPr="0078285B">
        <w:rPr>
          <w:rFonts w:asciiTheme="minorHAnsi" w:hAnsiTheme="minorHAnsi" w:cstheme="minorHAnsi"/>
          <w:color w:val="4D4F53" w:themeColor="text1"/>
        </w:rPr>
        <w:t>Resourcing concerns</w:t>
      </w:r>
    </w:p>
    <w:p w14:paraId="161FA216" w14:textId="2498D9A5" w:rsidR="008E286E" w:rsidRPr="008E286E" w:rsidRDefault="008E286E" w:rsidP="00692AB9">
      <w:pPr>
        <w:keepLines w:val="0"/>
      </w:pPr>
      <w:r w:rsidRPr="008E286E">
        <w:t>As per during our workforce and pay gap reporting research,</w:t>
      </w:r>
      <w:r w:rsidR="0078285B">
        <w:t xml:space="preserve"> </w:t>
      </w:r>
      <w:r w:rsidRPr="008E286E">
        <w:t>employers were not clear what the government are intending to achieve by mandating disability pay gap reporting.</w:t>
      </w:r>
      <w:r w:rsidR="005B0863">
        <w:rPr>
          <w:rStyle w:val="FootnoteReference"/>
        </w:rPr>
        <w:footnoteReference w:id="5"/>
      </w:r>
      <w:r w:rsidRPr="008E286E">
        <w:t xml:space="preserve"> One employer questioned whether the amount of resource reporting takes has an equal benefit enough to justify taking that resource away from other core areas of their businesses. In one employers’ </w:t>
      </w:r>
      <w:proofErr w:type="gramStart"/>
      <w:r w:rsidRPr="008E286E">
        <w:t>words</w:t>
      </w:r>
      <w:proofErr w:type="gramEnd"/>
      <w:r w:rsidRPr="008E286E">
        <w:t xml:space="preserve">: </w:t>
      </w:r>
    </w:p>
    <w:p w14:paraId="5699F318" w14:textId="7D6E849F" w:rsidR="008E286E" w:rsidRPr="008E286E" w:rsidRDefault="008E286E" w:rsidP="00692AB9">
      <w:pPr>
        <w:keepLines w:val="0"/>
        <w:ind w:left="908"/>
        <w:rPr>
          <w:i/>
          <w:iCs/>
        </w:rPr>
      </w:pPr>
      <w:r w:rsidRPr="008E286E">
        <w:rPr>
          <w:i/>
          <w:iCs/>
        </w:rPr>
        <w:lastRenderedPageBreak/>
        <w:t xml:space="preserve">“What is the return on resource it would take? Our equality team would be a reporting </w:t>
      </w:r>
      <w:proofErr w:type="gramStart"/>
      <w:r w:rsidRPr="008E286E">
        <w:rPr>
          <w:i/>
          <w:iCs/>
        </w:rPr>
        <w:t>team</w:t>
      </w:r>
      <w:proofErr w:type="gramEnd"/>
      <w:r w:rsidRPr="008E286E">
        <w:rPr>
          <w:i/>
          <w:iCs/>
        </w:rPr>
        <w:t xml:space="preserve"> and we wouldn’t have time to do any work</w:t>
      </w:r>
      <w:r w:rsidR="00AD4DA4">
        <w:rPr>
          <w:i/>
          <w:iCs/>
        </w:rPr>
        <w:t>.</w:t>
      </w:r>
      <w:r w:rsidRPr="008E286E">
        <w:rPr>
          <w:i/>
          <w:iCs/>
        </w:rPr>
        <w:t>”</w:t>
      </w:r>
    </w:p>
    <w:p w14:paraId="6B0FB609" w14:textId="286AFBF0" w:rsidR="008E286E" w:rsidRPr="008E286E" w:rsidRDefault="008E286E" w:rsidP="00692AB9">
      <w:pPr>
        <w:keepLines w:val="0"/>
      </w:pPr>
      <w:r w:rsidRPr="008E286E">
        <w:t>This concern was also echoed in our research where increasingly reducing public sector organisations were being required to do more reporting but did not have more resource. One employer said they reduced capacity from their workplace adjustments team to be able to keep up with the amount of reporting requirements their sector is increasingly required to do.</w:t>
      </w:r>
    </w:p>
    <w:p w14:paraId="54C75AB3" w14:textId="77777777" w:rsidR="008E286E" w:rsidRPr="008E286E" w:rsidRDefault="008E286E" w:rsidP="00692AB9">
      <w:pPr>
        <w:keepLines w:val="0"/>
      </w:pPr>
      <w:r w:rsidRPr="008E286E">
        <w:t>With this said, employers were clear that they are happy to invest in things that work and in collecting data that built trust, advanced inclusion, and could help them change things for good in their organisations. However, even those who had been collecting and reporting their disability pay gap for years were unconvinced that disability gap reporting does that. Furthermore, the key point in the discussion is that the government appeared to be unclear why it was requiring it – or, at least, that had not been articulated to employers or within the consultation.</w:t>
      </w:r>
    </w:p>
    <w:p w14:paraId="7EEF605D" w14:textId="77777777" w:rsidR="008E286E" w:rsidRPr="0078285B" w:rsidRDefault="008E286E" w:rsidP="00A2438E">
      <w:pPr>
        <w:pStyle w:val="Heading3"/>
        <w:keepLines w:val="0"/>
        <w:spacing w:line="360" w:lineRule="auto"/>
        <w:rPr>
          <w:rFonts w:ascii="Arial" w:hAnsi="Arial" w:cs="Arial"/>
          <w:color w:val="4D4F53" w:themeColor="text1"/>
        </w:rPr>
      </w:pPr>
      <w:r w:rsidRPr="0078285B">
        <w:rPr>
          <w:rFonts w:ascii="Arial" w:hAnsi="Arial" w:cs="Arial"/>
          <w:color w:val="4D4F53" w:themeColor="text1"/>
        </w:rPr>
        <w:t>Employers questioned whether the government has involved employers in the right way</w:t>
      </w:r>
    </w:p>
    <w:p w14:paraId="4050B9BC" w14:textId="77777777" w:rsidR="008E286E" w:rsidRPr="008E286E" w:rsidRDefault="008E286E" w:rsidP="00692AB9">
      <w:pPr>
        <w:keepLines w:val="0"/>
      </w:pPr>
      <w:r w:rsidRPr="008E286E">
        <w:t xml:space="preserve">Employers questioned why the government had a manifesto commitment to introduce disability pay gap reporting, instead of committing to </w:t>
      </w:r>
      <w:r w:rsidRPr="008E286E">
        <w:rPr>
          <w:i/>
          <w:iCs/>
        </w:rPr>
        <w:t xml:space="preserve">consulting on </w:t>
      </w:r>
      <w:r w:rsidRPr="008E286E">
        <w:t>introducing disability pay gap reporting. There was huge disappointment in the group about this. Some employers explained that committing to introduce reporting without consultation first was an indication that there was never any ambition to ask employers about how gender pay gap reporting had gone for them and whether it had driven meaningful change.</w:t>
      </w:r>
    </w:p>
    <w:p w14:paraId="73F23524" w14:textId="77777777" w:rsidR="008E286E" w:rsidRPr="008E286E" w:rsidRDefault="008E286E" w:rsidP="00692AB9">
      <w:pPr>
        <w:keepLines w:val="0"/>
      </w:pPr>
      <w:r w:rsidRPr="008E286E">
        <w:t>Employers were also concerned that the government has not said how it intends to use and interpret the reported data. Employers wanted assurance from the government that they will control perverse and unhelpful interpretations of the data, particularly by the public and the media, when it is published.</w:t>
      </w:r>
    </w:p>
    <w:p w14:paraId="2DED89BC" w14:textId="77777777" w:rsidR="008E286E" w:rsidRPr="0078285B" w:rsidRDefault="008E286E" w:rsidP="00A2438E">
      <w:pPr>
        <w:pStyle w:val="Heading3"/>
        <w:keepLines w:val="0"/>
        <w:spacing w:line="360" w:lineRule="auto"/>
        <w:rPr>
          <w:rFonts w:asciiTheme="minorHAnsi" w:hAnsiTheme="minorHAnsi" w:cstheme="minorHAnsi"/>
          <w:color w:val="4D4F53" w:themeColor="text1"/>
        </w:rPr>
      </w:pPr>
      <w:r w:rsidRPr="0078285B">
        <w:rPr>
          <w:rFonts w:asciiTheme="minorHAnsi" w:hAnsiTheme="minorHAnsi" w:cstheme="minorHAnsi"/>
          <w:color w:val="4D4F53" w:themeColor="text1"/>
        </w:rPr>
        <w:lastRenderedPageBreak/>
        <w:t xml:space="preserve">Limitations of HR and workforce management systems have not been fully </w:t>
      </w:r>
      <w:proofErr w:type="gramStart"/>
      <w:r w:rsidRPr="0078285B">
        <w:rPr>
          <w:rFonts w:asciiTheme="minorHAnsi" w:hAnsiTheme="minorHAnsi" w:cstheme="minorHAnsi"/>
          <w:color w:val="4D4F53" w:themeColor="text1"/>
        </w:rPr>
        <w:t>looked into</w:t>
      </w:r>
      <w:proofErr w:type="gramEnd"/>
    </w:p>
    <w:p w14:paraId="0CC9BB41" w14:textId="77777777" w:rsidR="008E286E" w:rsidRPr="008E286E" w:rsidRDefault="008E286E" w:rsidP="00692AB9">
      <w:pPr>
        <w:keepLines w:val="0"/>
      </w:pPr>
      <w:r w:rsidRPr="008E286E">
        <w:t xml:space="preserve">Two concerns came up in relation to HR and workforce management systems that employers are using to capture diversity workforce data. Firstly, employers are keen for government to understand that </w:t>
      </w:r>
      <w:proofErr w:type="gramStart"/>
      <w:r w:rsidRPr="008E286E">
        <w:t>all of</w:t>
      </w:r>
      <w:proofErr w:type="gramEnd"/>
      <w:r w:rsidRPr="008E286E">
        <w:t xml:space="preserve"> the data they are being asked to collect, analyse, and report </w:t>
      </w:r>
      <w:proofErr w:type="gramStart"/>
      <w:r w:rsidRPr="008E286E">
        <w:t>has to</w:t>
      </w:r>
      <w:proofErr w:type="gramEnd"/>
      <w:r w:rsidRPr="008E286E">
        <w:t xml:space="preserve"> be done</w:t>
      </w:r>
      <w:r w:rsidRPr="008E286E">
        <w:rPr>
          <w:i/>
          <w:iCs/>
        </w:rPr>
        <w:t xml:space="preserve"> </w:t>
      </w:r>
      <w:r w:rsidRPr="008E286E">
        <w:t>manually. The system does not do this; the system just stores the data. Even though many employers are already reporting much of what will be required (even in the public sector’s proposed additional requirement), making reporting mandatory meant there would be no room to ‘ease up’ on reporting one year (by reporting less categories, for example) if resourcing was low one year due to downsizing or restructuring. In employers’ words:</w:t>
      </w:r>
    </w:p>
    <w:p w14:paraId="32216ACE" w14:textId="77777777" w:rsidR="008E286E" w:rsidRPr="008E286E" w:rsidRDefault="008E286E" w:rsidP="00692AB9">
      <w:pPr>
        <w:keepLines w:val="0"/>
        <w:ind w:left="908"/>
        <w:rPr>
          <w:i/>
          <w:iCs/>
        </w:rPr>
      </w:pPr>
      <w:r w:rsidRPr="008E286E">
        <w:rPr>
          <w:i/>
          <w:iCs/>
        </w:rPr>
        <w:t>“I think the government are under the impression that systems do this automatically. They don’t”.</w:t>
      </w:r>
    </w:p>
    <w:p w14:paraId="470B3189" w14:textId="77777777" w:rsidR="008E286E" w:rsidRPr="008E286E" w:rsidRDefault="008E286E" w:rsidP="00692AB9">
      <w:pPr>
        <w:keepLines w:val="0"/>
        <w:ind w:left="908"/>
        <w:rPr>
          <w:i/>
          <w:iCs/>
        </w:rPr>
      </w:pPr>
      <w:r w:rsidRPr="008E286E">
        <w:rPr>
          <w:i/>
          <w:iCs/>
        </w:rPr>
        <w:t xml:space="preserve">“This is not an automated system. [Capturing data about] progression is time heavy. It would be ‘who has changed salary band that year’. That would need to all be done manually”. </w:t>
      </w:r>
    </w:p>
    <w:p w14:paraId="1378204D" w14:textId="77777777" w:rsidR="008E286E" w:rsidRPr="008E286E" w:rsidRDefault="008E286E" w:rsidP="00692AB9">
      <w:pPr>
        <w:keepLines w:val="0"/>
      </w:pPr>
      <w:r w:rsidRPr="008E286E">
        <w:t>There was strong agreement with the above two comments.</w:t>
      </w:r>
    </w:p>
    <w:p w14:paraId="027BE10D" w14:textId="77777777" w:rsidR="008E286E" w:rsidRPr="003E6693" w:rsidRDefault="008E286E" w:rsidP="00692AB9">
      <w:pPr>
        <w:keepLines w:val="0"/>
      </w:pPr>
      <w:r w:rsidRPr="003E6693">
        <w:t>Secondly, one of the most common barriers to collecting, analysing, and reporting workforce data for our members is the inaccessibility and limitations of their workforce management systems (WMS).</w:t>
      </w:r>
      <w:r w:rsidRPr="003E6693">
        <w:rPr>
          <w:vertAlign w:val="superscript"/>
        </w:rPr>
        <w:footnoteReference w:id="6"/>
      </w:r>
      <w:r w:rsidRPr="003E6693">
        <w:t xml:space="preserve"> Some organisations use a combination of systems, and </w:t>
      </w:r>
      <w:r w:rsidRPr="003E6693">
        <w:lastRenderedPageBreak/>
        <w:t xml:space="preserve">some use one part of a system for (for example) HR/payroll, and a module from another system to do other types of diversity and workforce data reporting. </w:t>
      </w:r>
    </w:p>
    <w:p w14:paraId="662C9F7F" w14:textId="4BBCBC66" w:rsidR="00176925" w:rsidRPr="003E6693" w:rsidRDefault="008E286E" w:rsidP="00176925">
      <w:pPr>
        <w:keepLines w:val="0"/>
      </w:pPr>
      <w:r w:rsidRPr="003E6693">
        <w:t xml:space="preserve">Employers also explained the difference between altering fields on systems at the point of purchase versus altering fields as a change when the system is already embedded in an organisation. To change the wording of a single field </w:t>
      </w:r>
      <w:r w:rsidR="00176925" w:rsidRPr="003E6693">
        <w:t xml:space="preserve">– which can be </w:t>
      </w:r>
      <w:r w:rsidR="00CC6D44" w:rsidRPr="003E6693">
        <w:t>fewer</w:t>
      </w:r>
      <w:r w:rsidR="00176925" w:rsidRPr="003E6693">
        <w:t xml:space="preserve"> characters than a short sentence –</w:t>
      </w:r>
      <w:r w:rsidRPr="003E6693">
        <w:t xml:space="preserve"> can costs thousands. This has consequences if the government change</w:t>
      </w:r>
      <w:r w:rsidR="009A128F" w:rsidRPr="003E6693">
        <w:t>s</w:t>
      </w:r>
      <w:r w:rsidRPr="003E6693">
        <w:t xml:space="preserve"> the standardis</w:t>
      </w:r>
      <w:r w:rsidR="009A128F" w:rsidRPr="003E6693">
        <w:t>ation</w:t>
      </w:r>
      <w:r w:rsidRPr="003E6693">
        <w:t xml:space="preserve"> or wording at any time </w:t>
      </w:r>
      <w:r w:rsidR="003507F3" w:rsidRPr="003E6693">
        <w:t xml:space="preserve">that are related to </w:t>
      </w:r>
      <w:r w:rsidRPr="003E6693">
        <w:t xml:space="preserve">reporting requirements. </w:t>
      </w:r>
      <w:r w:rsidR="00176925" w:rsidRPr="003E6693">
        <w:t>One employer reinforced the point by explaining how their system is purchased at sector level, not employer level</w:t>
      </w:r>
      <w:r w:rsidR="00AD4DA4">
        <w:t xml:space="preserve">, </w:t>
      </w:r>
      <w:r w:rsidR="00176925" w:rsidRPr="003E6693">
        <w:t>and holds almost 2 million staff records. They said:</w:t>
      </w:r>
    </w:p>
    <w:p w14:paraId="1BA73A5E" w14:textId="22946801" w:rsidR="00176925" w:rsidRPr="00176925" w:rsidRDefault="00176925" w:rsidP="00176925">
      <w:pPr>
        <w:keepLines w:val="0"/>
        <w:ind w:left="908"/>
        <w:rPr>
          <w:i/>
          <w:iCs/>
        </w:rPr>
      </w:pPr>
      <w:r w:rsidRPr="003E6693">
        <w:rPr>
          <w:i/>
          <w:iCs/>
        </w:rPr>
        <w:t xml:space="preserve">“This is not an insignificant </w:t>
      </w:r>
      <w:r w:rsidR="00FA41CD" w:rsidRPr="003E6693">
        <w:rPr>
          <w:i/>
          <w:iCs/>
        </w:rPr>
        <w:t>number</w:t>
      </w:r>
      <w:r w:rsidRPr="003E6693">
        <w:rPr>
          <w:i/>
          <w:iCs/>
        </w:rPr>
        <w:t xml:space="preserve"> of organisations and employees’ records! As a recipient organisation of [the system] we do not have the ability to add a definition at our end here and I believe that’s the case for all of us [in the sector] – something they need to think about if they want people to have answered their disability status according to an Equality Act definition.”</w:t>
      </w:r>
    </w:p>
    <w:p w14:paraId="60942DEB" w14:textId="77777777" w:rsidR="008E286E" w:rsidRPr="0078285B" w:rsidRDefault="008E286E" w:rsidP="00A2438E">
      <w:pPr>
        <w:pStyle w:val="Heading3"/>
        <w:keepLines w:val="0"/>
        <w:spacing w:line="360" w:lineRule="auto"/>
        <w:rPr>
          <w:rFonts w:asciiTheme="minorHAnsi" w:hAnsiTheme="minorHAnsi" w:cstheme="minorHAnsi"/>
          <w:color w:val="007AC9" w:themeColor="text2"/>
        </w:rPr>
      </w:pPr>
      <w:r w:rsidRPr="0078285B">
        <w:rPr>
          <w:rFonts w:asciiTheme="minorHAnsi" w:hAnsiTheme="minorHAnsi" w:cstheme="minorHAnsi"/>
          <w:color w:val="4D4F53" w:themeColor="text1"/>
        </w:rPr>
        <w:t>Reducing the burden on employers</w:t>
      </w:r>
    </w:p>
    <w:p w14:paraId="2FB28795" w14:textId="77777777" w:rsidR="008E286E" w:rsidRPr="008E286E" w:rsidRDefault="008E286E" w:rsidP="00692AB9">
      <w:pPr>
        <w:keepLines w:val="0"/>
      </w:pPr>
      <w:r w:rsidRPr="008E286E">
        <w:t>Employers felt the default assumption from the government is that employers are already set up to do reporting in the way that the government is suggesting (standardised questions and already having named disability data).</w:t>
      </w:r>
    </w:p>
    <w:p w14:paraId="6F083897" w14:textId="77777777" w:rsidR="008E286E" w:rsidRPr="008E286E" w:rsidRDefault="008E286E" w:rsidP="00692AB9">
      <w:pPr>
        <w:keepLines w:val="0"/>
      </w:pPr>
      <w:r w:rsidRPr="008E286E">
        <w:t>In addition, one employer questioned whether other areas of government were involved and wondered why HMRC did not appear to have any input into the proposals:</w:t>
      </w:r>
    </w:p>
    <w:p w14:paraId="296FF46A" w14:textId="77777777" w:rsidR="008E286E" w:rsidRPr="008E286E" w:rsidRDefault="008E286E" w:rsidP="00692AB9">
      <w:pPr>
        <w:keepLines w:val="0"/>
        <w:ind w:left="908"/>
        <w:rPr>
          <w:i/>
          <w:iCs/>
        </w:rPr>
      </w:pPr>
      <w:r w:rsidRPr="008E286E">
        <w:rPr>
          <w:i/>
          <w:iCs/>
        </w:rPr>
        <w:t>“Why isn’t the government doing this work through HMRC? Doesn’t HMRC already have most of the data? HMRC have rules and processes that already exist [for collecting pay details from employers and employees]. How far are Cabinet Office linking up with them on this?”</w:t>
      </w:r>
    </w:p>
    <w:p w14:paraId="47004E37" w14:textId="77777777" w:rsidR="008E286E" w:rsidRPr="008E286E" w:rsidRDefault="008E286E" w:rsidP="00692AB9">
      <w:pPr>
        <w:keepLines w:val="0"/>
      </w:pPr>
      <w:r w:rsidRPr="008E286E">
        <w:lastRenderedPageBreak/>
        <w:t>There was a lot of agreement in the group with this comment.</w:t>
      </w:r>
    </w:p>
    <w:p w14:paraId="71C5674C" w14:textId="77777777" w:rsidR="008E286E" w:rsidRPr="0078285B" w:rsidRDefault="008E286E" w:rsidP="00A2438E">
      <w:pPr>
        <w:pStyle w:val="Heading3"/>
        <w:keepLines w:val="0"/>
        <w:spacing w:line="360" w:lineRule="auto"/>
        <w:rPr>
          <w:rFonts w:ascii="Arial" w:hAnsi="Arial" w:cs="Arial"/>
          <w:color w:val="4D4F53" w:themeColor="text1"/>
        </w:rPr>
      </w:pPr>
      <w:r w:rsidRPr="0078285B">
        <w:rPr>
          <w:rFonts w:ascii="Arial" w:hAnsi="Arial" w:cs="Arial"/>
          <w:color w:val="4D4F53" w:themeColor="text1"/>
        </w:rPr>
        <w:t>Reduction in pay when making adjustments</w:t>
      </w:r>
    </w:p>
    <w:p w14:paraId="3D18CE36" w14:textId="19994CE1" w:rsidR="008E286E" w:rsidRPr="008E286E" w:rsidRDefault="008E286E" w:rsidP="00692AB9">
      <w:pPr>
        <w:keepLines w:val="0"/>
        <w:rPr>
          <w:bCs/>
        </w:rPr>
      </w:pPr>
      <w:r w:rsidRPr="008E286E">
        <w:rPr>
          <w:bCs/>
        </w:rPr>
        <w:t>As per our disability workforce and pay gap research, there can be many reasons why a disabled employee may earn less than a non-disabled employee without discrimination having happened.</w:t>
      </w:r>
      <w:r w:rsidRPr="008E286E">
        <w:rPr>
          <w:bCs/>
          <w:vertAlign w:val="superscript"/>
        </w:rPr>
        <w:footnoteReference w:id="7"/>
      </w:r>
      <w:r w:rsidRPr="008E286E">
        <w:rPr>
          <w:bCs/>
        </w:rPr>
        <w:t xml:space="preserve"> In fact, the opposite is often experienced by both employers and managers: sometimes making inclusive decisions for a disabled individual causes pay to decrease (and can therefore cause the employer’s disability pay gap to widen)</w:t>
      </w:r>
      <w:r w:rsidR="00AD4DA4">
        <w:rPr>
          <w:bCs/>
        </w:rPr>
        <w:t xml:space="preserve"> – f</w:t>
      </w:r>
      <w:r w:rsidRPr="008E286E">
        <w:rPr>
          <w:bCs/>
        </w:rPr>
        <w:t>or example, when someone wants to reduce the seniority of their role or enter a job carving arrangement as a reasonable adjustment to help them stay employed when their disability has progressed. In one employer’s words:</w:t>
      </w:r>
    </w:p>
    <w:p w14:paraId="7BABD457" w14:textId="5AAB4AE0" w:rsidR="008E286E" w:rsidRPr="008E286E" w:rsidRDefault="008E286E" w:rsidP="00692AB9">
      <w:pPr>
        <w:keepLines w:val="0"/>
        <w:ind w:left="908"/>
        <w:rPr>
          <w:bCs/>
          <w:i/>
          <w:iCs/>
        </w:rPr>
      </w:pPr>
      <w:r w:rsidRPr="008E286E">
        <w:rPr>
          <w:bCs/>
          <w:i/>
          <w:iCs/>
        </w:rPr>
        <w:t>“Whilst everyone is often ambitious, I understand many colleagues with disabilities are happy to undertake a role at certain times of their life which may ‘come easy’ to them</w:t>
      </w:r>
      <w:r w:rsidR="00AD4DA4">
        <w:rPr>
          <w:bCs/>
          <w:i/>
          <w:iCs/>
        </w:rPr>
        <w:t>,</w:t>
      </w:r>
      <w:r w:rsidRPr="008E286E">
        <w:rPr>
          <w:bCs/>
          <w:i/>
          <w:iCs/>
        </w:rPr>
        <w:t xml:space="preserve"> rather than being in a challenging management job, when life is tough anyway and the odds feel stacked against them in work and home and family life. Ways of working are always a balancing act between supporting employees to progress where/when they want to and removing barriers they may face, but balanced with supporting individual decisions people have the right to take/make at certain times.”</w:t>
      </w:r>
    </w:p>
    <w:p w14:paraId="09FE0EEF" w14:textId="77777777" w:rsidR="008E286E" w:rsidRPr="008E286E" w:rsidRDefault="008E286E" w:rsidP="00692AB9">
      <w:pPr>
        <w:keepLines w:val="0"/>
        <w:rPr>
          <w:bCs/>
        </w:rPr>
      </w:pPr>
      <w:r w:rsidRPr="008E286E">
        <w:rPr>
          <w:bCs/>
        </w:rPr>
        <w:t xml:space="preserve">This is why understanding the context behind the numbers – and requiring a narrative, not just numbers – is so important. </w:t>
      </w:r>
    </w:p>
    <w:p w14:paraId="728FAE14" w14:textId="77777777" w:rsidR="008E286E" w:rsidRPr="0078285B" w:rsidRDefault="008E286E" w:rsidP="00A2438E">
      <w:pPr>
        <w:pStyle w:val="Heading3"/>
        <w:keepLines w:val="0"/>
        <w:spacing w:line="360" w:lineRule="auto"/>
        <w:rPr>
          <w:rFonts w:asciiTheme="minorHAnsi" w:hAnsiTheme="minorHAnsi" w:cstheme="minorHAnsi"/>
          <w:color w:val="4D4F53" w:themeColor="text1"/>
        </w:rPr>
      </w:pPr>
      <w:r w:rsidRPr="0078285B">
        <w:rPr>
          <w:rFonts w:asciiTheme="minorHAnsi" w:hAnsiTheme="minorHAnsi" w:cstheme="minorHAnsi"/>
          <w:color w:val="4D4F53" w:themeColor="text1"/>
        </w:rPr>
        <w:t>Employment support schemes are a good thing to do but negatively impact pay gap data</w:t>
      </w:r>
    </w:p>
    <w:p w14:paraId="0D162B82" w14:textId="165D0244" w:rsidR="008E286E" w:rsidRPr="008E286E" w:rsidRDefault="003D6138" w:rsidP="00692AB9">
      <w:pPr>
        <w:keepLines w:val="0"/>
        <w:rPr>
          <w:bCs/>
        </w:rPr>
      </w:pPr>
      <w:r>
        <w:rPr>
          <w:bCs/>
        </w:rPr>
        <w:lastRenderedPageBreak/>
        <w:t>Two</w:t>
      </w:r>
      <w:r w:rsidR="008E286E" w:rsidRPr="008E286E">
        <w:rPr>
          <w:bCs/>
        </w:rPr>
        <w:t xml:space="preserve"> employer</w:t>
      </w:r>
      <w:r>
        <w:rPr>
          <w:bCs/>
        </w:rPr>
        <w:t>s</w:t>
      </w:r>
      <w:r w:rsidR="008E286E" w:rsidRPr="008E286E">
        <w:rPr>
          <w:bCs/>
        </w:rPr>
        <w:t xml:space="preserve"> explained this well:</w:t>
      </w:r>
    </w:p>
    <w:p w14:paraId="268FBF9E" w14:textId="786448B7" w:rsidR="008E286E" w:rsidRDefault="008E286E" w:rsidP="00692AB9">
      <w:pPr>
        <w:keepLines w:val="0"/>
        <w:ind w:left="908"/>
        <w:rPr>
          <w:bCs/>
          <w:i/>
          <w:iCs/>
        </w:rPr>
      </w:pPr>
      <w:r w:rsidRPr="008E286E">
        <w:rPr>
          <w:i/>
          <w:iCs/>
        </w:rPr>
        <w:t>“We operate the acclaimed learning-disability supported-employment scheme here, Project SEARCH, and take on young people with an EHCP</w:t>
      </w:r>
      <w:r w:rsidR="00AD4DA4">
        <w:rPr>
          <w:rStyle w:val="FootnoteReference"/>
          <w:i/>
          <w:iCs/>
        </w:rPr>
        <w:footnoteReference w:id="8"/>
      </w:r>
      <w:r w:rsidRPr="008E286E">
        <w:rPr>
          <w:i/>
          <w:iCs/>
        </w:rPr>
        <w:t xml:space="preserve"> into entry level roles which may not exactly help any disability pay gap figure calculation because they work at an ‘hourly pay rate’ which is the lowest often, with a view to working their way up. This would reflect in figures as disabled people not being paid much, but I would hate for the scheme to be jeopardised in any quest to improve pay gap figure data. I am h</w:t>
      </w:r>
      <w:r w:rsidRPr="008E286E">
        <w:rPr>
          <w:bCs/>
          <w:i/>
          <w:iCs/>
        </w:rPr>
        <w:t>oping that the new regulation might require organisations to provide a narrative to their pay gap figures therefore – to explain this. An increase in disabled staff and/or a poorer pay gap as a result may not always be a bad thing.”</w:t>
      </w:r>
    </w:p>
    <w:p w14:paraId="3A5B2AB3" w14:textId="77777777" w:rsidR="003D6138" w:rsidRPr="003D6138" w:rsidRDefault="003D6138" w:rsidP="003D6138">
      <w:pPr>
        <w:ind w:left="908"/>
        <w:rPr>
          <w:rFonts w:cs="Arial"/>
          <w:i/>
          <w:iCs/>
          <w:bdr w:val="none" w:sz="0" w:space="0" w:color="auto"/>
        </w:rPr>
      </w:pPr>
      <w:r w:rsidRPr="003E6693">
        <w:rPr>
          <w:i/>
          <w:iCs/>
          <w:bdr w:val="none" w:sz="0" w:space="0" w:color="auto"/>
        </w:rPr>
        <w:t>“It's similar with gender and ethnicity – for example, we plan to do a lot more on early careers to get more diversity into our sector in the next few years, but that's not going to be good for our gender or ethnicity pay gaps probably. A key thing is to just explain that in a narrative and say that upfront. A widening of a pay gap isn't necessarily a negative.”</w:t>
      </w:r>
      <w:r w:rsidRPr="003D6138">
        <w:rPr>
          <w:i/>
          <w:iCs/>
          <w:bdr w:val="none" w:sz="0" w:space="0" w:color="auto"/>
        </w:rPr>
        <w:t> </w:t>
      </w:r>
    </w:p>
    <w:p w14:paraId="73B6DC5F" w14:textId="288B4A16" w:rsidR="008E286E" w:rsidRPr="008E286E" w:rsidRDefault="008E286E" w:rsidP="00692AB9">
      <w:pPr>
        <w:keepLines w:val="0"/>
        <w:rPr>
          <w:bCs/>
        </w:rPr>
      </w:pPr>
      <w:r w:rsidRPr="008E286E">
        <w:rPr>
          <w:bCs/>
        </w:rPr>
        <w:t>Th</w:t>
      </w:r>
      <w:r w:rsidR="003D6138">
        <w:rPr>
          <w:bCs/>
        </w:rPr>
        <w:t>ese</w:t>
      </w:r>
      <w:r w:rsidRPr="008E286E">
        <w:rPr>
          <w:bCs/>
        </w:rPr>
        <w:t xml:space="preserve"> employer</w:t>
      </w:r>
      <w:r w:rsidR="003D6138">
        <w:rPr>
          <w:bCs/>
        </w:rPr>
        <w:t xml:space="preserve">s are </w:t>
      </w:r>
      <w:r w:rsidRPr="008E286E">
        <w:rPr>
          <w:bCs/>
        </w:rPr>
        <w:t>not alone. We had other evidence of this being a worry for employers in our research as well.</w:t>
      </w:r>
      <w:r w:rsidRPr="008E286E">
        <w:rPr>
          <w:bCs/>
          <w:vertAlign w:val="superscript"/>
        </w:rPr>
        <w:footnoteReference w:id="9"/>
      </w:r>
    </w:p>
    <w:p w14:paraId="49312FC2" w14:textId="77777777" w:rsidR="008E286E" w:rsidRPr="00AD4DA4" w:rsidRDefault="008E286E" w:rsidP="00692AB9">
      <w:pPr>
        <w:keepLines w:val="0"/>
        <w:rPr>
          <w:b/>
        </w:rPr>
      </w:pPr>
      <w:r w:rsidRPr="00AD4DA4">
        <w:rPr>
          <w:b/>
        </w:rPr>
        <w:t xml:space="preserve">This, and the point above about pay reductions when adjustments are made, are reasons why it is imperative to understand the difference between pay disparity and pay discrimination. People and organisations often confuse or conflate the two, and </w:t>
      </w:r>
      <w:r w:rsidRPr="00AD4DA4">
        <w:rPr>
          <w:b/>
        </w:rPr>
        <w:lastRenderedPageBreak/>
        <w:t xml:space="preserve">this leads to the conclusion that all wide pay gaps indicate unfairness or discrimination. A wide disability pay gap does not necessarily mean discrimination is happening. </w:t>
      </w:r>
    </w:p>
    <w:p w14:paraId="7F01FA11" w14:textId="77777777" w:rsidR="008E286E" w:rsidRPr="0078285B" w:rsidRDefault="008E286E" w:rsidP="00A2438E">
      <w:pPr>
        <w:pStyle w:val="Heading3"/>
        <w:keepLines w:val="0"/>
        <w:spacing w:line="360" w:lineRule="auto"/>
        <w:rPr>
          <w:rFonts w:asciiTheme="minorHAnsi" w:hAnsiTheme="minorHAnsi" w:cstheme="minorHAnsi"/>
          <w:color w:val="007AC9" w:themeColor="text2"/>
        </w:rPr>
      </w:pPr>
      <w:r w:rsidRPr="0078285B">
        <w:rPr>
          <w:rFonts w:asciiTheme="minorHAnsi" w:hAnsiTheme="minorHAnsi" w:cstheme="minorHAnsi"/>
          <w:color w:val="4D4F53" w:themeColor="text1"/>
        </w:rPr>
        <w:t>Ensure employers who have been ahead in reporting are not penalised</w:t>
      </w:r>
    </w:p>
    <w:p w14:paraId="09E36127" w14:textId="1AD2E659" w:rsidR="008E286E" w:rsidRPr="008E286E" w:rsidRDefault="008E286E" w:rsidP="00692AB9">
      <w:pPr>
        <w:keepLines w:val="0"/>
      </w:pPr>
      <w:r w:rsidRPr="008E286E">
        <w:t>Employers we spoke to are concerned that implementing mandatory pay gap reporting with standardised questions penalises the employers who have been voluntarily reporting for years now – they would effectively have to hit ‘delete’ on their data and begin again. Furthermore, many employers collect and have built up their disability workforce data anonymously so far. They would have to disregard this data and recollect with their workforce, but this time asking for disabled employees to re-d</w:t>
      </w:r>
      <w:r w:rsidR="000C01BE">
        <w:t>isclose</w:t>
      </w:r>
      <w:r w:rsidRPr="008E286E">
        <w:t xml:space="preserve"> on their </w:t>
      </w:r>
      <w:r w:rsidRPr="008E286E">
        <w:rPr>
          <w:i/>
          <w:iCs/>
        </w:rPr>
        <w:t>named</w:t>
      </w:r>
      <w:r w:rsidRPr="008E286E">
        <w:t xml:space="preserve"> HR record, with the risk of eroding and having to rebuild the trust that they had worked so hard to nurture. </w:t>
      </w:r>
    </w:p>
    <w:p w14:paraId="7312DC1F" w14:textId="77777777" w:rsidR="008E286E" w:rsidRPr="0078285B" w:rsidRDefault="008E286E" w:rsidP="00A2438E">
      <w:pPr>
        <w:pStyle w:val="Heading3"/>
        <w:keepLines w:val="0"/>
        <w:spacing w:line="360" w:lineRule="auto"/>
        <w:rPr>
          <w:rFonts w:asciiTheme="minorHAnsi" w:hAnsiTheme="minorHAnsi" w:cstheme="minorHAnsi"/>
          <w:color w:val="4D4F53" w:themeColor="text1"/>
        </w:rPr>
      </w:pPr>
      <w:r w:rsidRPr="0078285B">
        <w:rPr>
          <w:rFonts w:asciiTheme="minorHAnsi" w:hAnsiTheme="minorHAnsi" w:cstheme="minorHAnsi"/>
          <w:color w:val="4D4F53" w:themeColor="text1"/>
        </w:rPr>
        <w:t>Wider considerations about workforce and pay gap reporting figures</w:t>
      </w:r>
    </w:p>
    <w:p w14:paraId="359391FD" w14:textId="77777777" w:rsidR="008E286E" w:rsidRDefault="008E286E" w:rsidP="00692AB9">
      <w:pPr>
        <w:keepLines w:val="0"/>
      </w:pPr>
      <w:r w:rsidRPr="008E286E">
        <w:t>There is a difference between</w:t>
      </w:r>
      <w:r w:rsidRPr="008E286E">
        <w:rPr>
          <w:i/>
          <w:iCs/>
        </w:rPr>
        <w:t xml:space="preserve"> </w:t>
      </w:r>
      <w:r w:rsidRPr="008E286E">
        <w:t>employment data and</w:t>
      </w:r>
      <w:r w:rsidRPr="008E286E">
        <w:rPr>
          <w:i/>
          <w:iCs/>
        </w:rPr>
        <w:t xml:space="preserve"> </w:t>
      </w:r>
      <w:r w:rsidRPr="008E286E">
        <w:t>employer data. Employers need to collect and use data which helps them support, retain, and make adjustments for employees when employees need it. Employment data is about the wider labour market can help us understand the disability employment gap. Pay gap and workforce data will not help the latter. The largest sector employer of disabled people – MSMEs (micro, small, and medium enterprises) – are not included in the reporting requirements and a large cross-section of the disabled UK labour market is therefore not captured by these mandatory reporting requirements. There needs to be different policy proposals to the current mandatory reporting requirements if we want to capture and build data that will help us get a better picture of and inform policy on reducing the disability employment gap. </w:t>
      </w:r>
    </w:p>
    <w:p w14:paraId="7C708180" w14:textId="77777777" w:rsidR="003D6138" w:rsidRPr="003E6693" w:rsidRDefault="003D6138" w:rsidP="00A2438E">
      <w:pPr>
        <w:pStyle w:val="Heading3"/>
        <w:spacing w:line="360" w:lineRule="auto"/>
        <w:rPr>
          <w:rFonts w:asciiTheme="majorBidi" w:hAnsiTheme="majorBidi" w:cstheme="majorBidi"/>
        </w:rPr>
      </w:pPr>
      <w:r w:rsidRPr="003E6693">
        <w:rPr>
          <w:rFonts w:asciiTheme="majorBidi" w:hAnsiTheme="majorBidi" w:cstheme="majorBidi"/>
        </w:rPr>
        <w:t>Pause to learn what worked and what didn’t from gender pay gap reporting</w:t>
      </w:r>
    </w:p>
    <w:p w14:paraId="0324FC32" w14:textId="2E048795" w:rsidR="003D6138" w:rsidRPr="003E6693" w:rsidRDefault="003D6138" w:rsidP="003D6138">
      <w:pPr>
        <w:rPr>
          <w:rFonts w:eastAsiaTheme="minorHAnsi" w:cs="Arial"/>
        </w:rPr>
      </w:pPr>
      <w:r w:rsidRPr="003E6693">
        <w:lastRenderedPageBreak/>
        <w:t>There was agreement among the group that they felt disability (and ethnicity) pay gap reporting was being “rushed through” (employer’s words) without first pausing to understand the successes and difficulties of gender pay gap reporting.</w:t>
      </w:r>
      <w:r w:rsidR="00106CD8">
        <w:t xml:space="preserve"> In one employer’s words:</w:t>
      </w:r>
    </w:p>
    <w:p w14:paraId="3CEBC4D5" w14:textId="6176CC38" w:rsidR="003D6138" w:rsidRDefault="003D6138" w:rsidP="003D6138">
      <w:pPr>
        <w:keepLines w:val="0"/>
        <w:ind w:left="907"/>
        <w:rPr>
          <w:rFonts w:ascii="Aptos" w:hAnsi="Aptos" w:cs="Aptos"/>
        </w:rPr>
      </w:pPr>
      <w:r w:rsidRPr="003E6693">
        <w:rPr>
          <w:i/>
          <w:iCs/>
        </w:rPr>
        <w:t>“I would like to see some questions about the steps in </w:t>
      </w:r>
      <w:hyperlink r:id="rId13" w:tooltip="Original URL: https://urldefense.com/v3/__https:/www.gov.uk/government/publications/gender-pay-gap-reporting-guidance-for-employers/preparing-your-data__;!!PDiH4ENfjr2_Jw!GWLs59v0TJksXat09utgpIejiL_mMJZuTiFc2dNfMTdRIZgJYjXVDHy-xtNBeRRzJTj3VjoXx1kfWP3HNjXM" w:history="1">
        <w:r w:rsidRPr="003E6693">
          <w:rPr>
            <w:rStyle w:val="Hyperlink"/>
            <w:i/>
            <w:iCs/>
          </w:rPr>
          <w:t>preparing your data [gov.uk]</w:t>
        </w:r>
      </w:hyperlink>
      <w:r w:rsidRPr="003E6693">
        <w:rPr>
          <w:i/>
          <w:iCs/>
        </w:rPr>
        <w:t xml:space="preserve"> part of the guidance. There </w:t>
      </w:r>
      <w:r w:rsidR="004D63F0" w:rsidRPr="003E6693">
        <w:rPr>
          <w:i/>
          <w:iCs/>
        </w:rPr>
        <w:t>[are]</w:t>
      </w:r>
      <w:r w:rsidRPr="003E6693">
        <w:rPr>
          <w:i/>
          <w:iCs/>
        </w:rPr>
        <w:t xml:space="preserve"> a lot of questionable things in there such as adding bonuses as a part of hourly rate calculation or that you </w:t>
      </w:r>
      <w:proofErr w:type="gramStart"/>
      <w:r w:rsidRPr="003E6693">
        <w:rPr>
          <w:i/>
          <w:iCs/>
        </w:rPr>
        <w:t>have to</w:t>
      </w:r>
      <w:proofErr w:type="gramEnd"/>
      <w:r w:rsidRPr="003E6693">
        <w:rPr>
          <w:i/>
          <w:iCs/>
        </w:rPr>
        <w:t xml:space="preserve"> make calculations after salary sacrifice. There should be a consultation about that. It is possible that private sector would offer different answers than employers from public sector but that only proves that this needs to be a bit more thinking on this. We have not had any consultations about gender pay gap yet – what impact it has made, how should be done etc. and they </w:t>
      </w:r>
      <w:r w:rsidR="00106CD8">
        <w:rPr>
          <w:i/>
          <w:iCs/>
        </w:rPr>
        <w:t xml:space="preserve">[the government] </w:t>
      </w:r>
      <w:r w:rsidRPr="003E6693">
        <w:rPr>
          <w:i/>
          <w:iCs/>
        </w:rPr>
        <w:t>are already doing a consultation about ethnicity and disability.”</w:t>
      </w:r>
    </w:p>
    <w:p w14:paraId="79547325" w14:textId="77777777" w:rsidR="008E286E" w:rsidRPr="0078285B" w:rsidRDefault="008E286E" w:rsidP="00A2438E">
      <w:pPr>
        <w:pStyle w:val="Heading1"/>
        <w:keepLines w:val="0"/>
        <w:spacing w:line="360" w:lineRule="auto"/>
        <w:rPr>
          <w:rFonts w:asciiTheme="minorHAnsi" w:hAnsiTheme="minorHAnsi" w:cstheme="minorHAnsi"/>
          <w:sz w:val="32"/>
        </w:rPr>
      </w:pPr>
      <w:r w:rsidRPr="0078285B">
        <w:rPr>
          <w:rFonts w:asciiTheme="minorHAnsi" w:hAnsiTheme="minorHAnsi" w:cstheme="minorHAnsi"/>
          <w:sz w:val="32"/>
        </w:rPr>
        <w:t>General conclusion </w:t>
      </w:r>
    </w:p>
    <w:p w14:paraId="37D24349" w14:textId="77777777" w:rsidR="008E286E" w:rsidRPr="008E286E" w:rsidRDefault="008E286E" w:rsidP="00692AB9">
      <w:pPr>
        <w:keepLines w:val="0"/>
        <w:rPr>
          <w:bCs/>
        </w:rPr>
      </w:pPr>
      <w:r w:rsidRPr="008E286E">
        <w:rPr>
          <w:bCs/>
        </w:rPr>
        <w:t xml:space="preserve">Almost </w:t>
      </w:r>
      <w:proofErr w:type="gramStart"/>
      <w:r w:rsidRPr="008E286E">
        <w:rPr>
          <w:bCs/>
        </w:rPr>
        <w:t>all of</w:t>
      </w:r>
      <w:proofErr w:type="gramEnd"/>
      <w:r w:rsidRPr="008E286E">
        <w:rPr>
          <w:bCs/>
        </w:rPr>
        <w:t xml:space="preserve"> the employers we spoke to in the discussion groups for this consultation were already reporting their disability pay gap or are already preparing to. They were, however, very concerned about the practical and cultural impact of standardisation and single protected characteristic equality action plans, and they wanted to know how the government would support for employers in preparing for reporting and managing the public narrative when their figures are published. </w:t>
      </w:r>
    </w:p>
    <w:p w14:paraId="186C1047" w14:textId="26115222" w:rsidR="008E286E" w:rsidRPr="008E286E" w:rsidRDefault="008E286E" w:rsidP="00692AB9">
      <w:pPr>
        <w:keepLines w:val="0"/>
        <w:rPr>
          <w:bCs/>
        </w:rPr>
      </w:pPr>
      <w:r w:rsidRPr="008E286E">
        <w:rPr>
          <w:bCs/>
        </w:rPr>
        <w:t xml:space="preserve">There remain challenges that need to be overcome and limitations that the government need to acknowledge before concluding whether </w:t>
      </w:r>
      <w:r w:rsidR="00106CD8">
        <w:rPr>
          <w:bCs/>
        </w:rPr>
        <w:t>to implement</w:t>
      </w:r>
      <w:r w:rsidRPr="008E286E">
        <w:rPr>
          <w:bCs/>
        </w:rPr>
        <w:t xml:space="preserve"> mandatory workforce and pay gap reporting. The Work and Pensions Committee recommended in 2021 that </w:t>
      </w:r>
      <w:r w:rsidRPr="008E286E">
        <w:rPr>
          <w:bCs/>
        </w:rPr>
        <w:lastRenderedPageBreak/>
        <w:t>disability pay gap reporting should not go ahead,</w:t>
      </w:r>
      <w:r w:rsidRPr="008E286E">
        <w:rPr>
          <w:bCs/>
          <w:vertAlign w:val="superscript"/>
        </w:rPr>
        <w:footnoteReference w:id="10"/>
      </w:r>
      <w:r w:rsidRPr="008E286E">
        <w:rPr>
          <w:bCs/>
        </w:rPr>
        <w:t xml:space="preserve"> and none of the challenges cited as a reason for that decision have since gone away.</w:t>
      </w:r>
    </w:p>
    <w:p w14:paraId="04B93595" w14:textId="3F5454D0" w:rsidR="008E286E" w:rsidRPr="008E286E" w:rsidRDefault="008E286E" w:rsidP="00692AB9">
      <w:pPr>
        <w:keepLines w:val="0"/>
        <w:rPr>
          <w:bCs/>
        </w:rPr>
      </w:pPr>
      <w:r w:rsidRPr="008E286E">
        <w:rPr>
          <w:bCs/>
        </w:rPr>
        <w:t>It is very important to understand that the onus for workforce and pay gap reporting being a success is on disabled employees telling their employer about their disability on their named HR and payroll record as well as being a duty on their employer. We do not want employers to have requirements on them that encourage them to pressure their employees to d</w:t>
      </w:r>
      <w:r w:rsidR="000C01BE">
        <w:rPr>
          <w:bCs/>
        </w:rPr>
        <w:t>isclose</w:t>
      </w:r>
      <w:r w:rsidRPr="008E286E">
        <w:rPr>
          <w:bCs/>
        </w:rPr>
        <w:t xml:space="preserve"> or give information if that</w:t>
      </w:r>
      <w:r w:rsidR="00106CD8">
        <w:rPr>
          <w:bCs/>
        </w:rPr>
        <w:t xml:space="preserve"> i</w:t>
      </w:r>
      <w:r w:rsidRPr="008E286E">
        <w:rPr>
          <w:bCs/>
        </w:rPr>
        <w:t>s not what they want to do. This does not work toward an inclusive workplace for disabled people to work in.  </w:t>
      </w:r>
    </w:p>
    <w:p w14:paraId="50495B09" w14:textId="77777777" w:rsidR="008E286E" w:rsidRPr="008E286E" w:rsidRDefault="008E286E" w:rsidP="00692AB9">
      <w:pPr>
        <w:keepLines w:val="0"/>
        <w:rPr>
          <w:bCs/>
        </w:rPr>
      </w:pPr>
      <w:r w:rsidRPr="008E286E">
        <w:rPr>
          <w:bCs/>
        </w:rPr>
        <w:t>We believe that the top priority is for the government to focus on ensuring and enforcing employers’ provision of workplace adjustments and support to disabled candidates and employees. This is the single most important intervention that will directly help disabled people get and stay in work, yet it is currently a workplace right that disabled employees have poor experience of, and that the government has not adequately invested in enforcing. </w:t>
      </w:r>
    </w:p>
    <w:p w14:paraId="2936542B" w14:textId="77777777" w:rsidR="008E286E" w:rsidRPr="008E286E" w:rsidRDefault="008E286E" w:rsidP="00692AB9">
      <w:pPr>
        <w:keepLines w:val="0"/>
        <w:rPr>
          <w:bCs/>
        </w:rPr>
      </w:pPr>
      <w:r w:rsidRPr="008E286E">
        <w:rPr>
          <w:bCs/>
        </w:rPr>
        <w:t xml:space="preserve">Nevertheless, we approached our discussions with our members about this consultation with the assumption that disability pay gap reporting will go ahead. While our members’ </w:t>
      </w:r>
      <w:r w:rsidRPr="008E286E">
        <w:rPr>
          <w:bCs/>
        </w:rPr>
        <w:lastRenderedPageBreak/>
        <w:t>detailed views are discussed throughout this response, our three concluding recommendations that we want the government to consider are as follows:</w:t>
      </w:r>
    </w:p>
    <w:p w14:paraId="2447BEAE" w14:textId="1E8D2A92" w:rsidR="008E286E" w:rsidRPr="008E286E" w:rsidRDefault="008E286E" w:rsidP="00692AB9">
      <w:pPr>
        <w:pStyle w:val="BDFbulletpoints"/>
        <w:keepLines w:val="0"/>
      </w:pPr>
      <w:r w:rsidRPr="008E286E">
        <w:t xml:space="preserve">The government should confirm how it will monitor and prevent poor practices undertaken to secure better looking figures which we already know happens – such as employers declining reasonable adjustments that affect pay, and employers now considering reducing investment in disability employment schemes, for example. This is because many practices which are inclusive for and retain disabled people </w:t>
      </w:r>
      <w:r w:rsidR="00106CD8">
        <w:t xml:space="preserve">create </w:t>
      </w:r>
      <w:r w:rsidRPr="008E286E">
        <w:t xml:space="preserve">pay disparity and, therefore, </w:t>
      </w:r>
      <w:r w:rsidR="00106CD8">
        <w:t xml:space="preserve">impact </w:t>
      </w:r>
      <w:r w:rsidRPr="008E286E">
        <w:t xml:space="preserve">reportable pay gap figures. </w:t>
      </w:r>
    </w:p>
    <w:p w14:paraId="6F6AD081" w14:textId="77777777" w:rsidR="008E286E" w:rsidRPr="0078285B" w:rsidRDefault="008E286E" w:rsidP="00692AB9">
      <w:pPr>
        <w:pStyle w:val="BDFbulletpoints"/>
        <w:keepLines w:val="0"/>
        <w:rPr>
          <w:bCs w:val="0"/>
        </w:rPr>
      </w:pPr>
      <w:r w:rsidRPr="0078285B">
        <w:rPr>
          <w:bCs w:val="0"/>
        </w:rPr>
        <w:t xml:space="preserve">Move away from standardisation and instead ask employers to report the number of disabled people they employ, their disability pay gap, and the definition in which they report by. This allows organisations to keep their brand tone and the language they have co-produced with disabled employees internally. It also prevents the issue of employers who have been collecting and reporting disability workforce and pay gap data for years already from effectively having to hit ‘delete’ on their data so far and start recollecting “from scratch”. If standardisation is pursued, then it will be realty important that Government works with employers to establish an agreed definition for reporting that takes on board the learning from employers who have been doing this for a long time and have co-produced definitions with their disabled employees. Alongside this, there needs to be a transition period to allow time for employers using a different methodology to gradually move to the standardised definition so that they can take people with them. </w:t>
      </w:r>
    </w:p>
    <w:p w14:paraId="4CE8AAE2" w14:textId="34EC306B" w:rsidR="008A58A4" w:rsidRPr="00135DD8" w:rsidRDefault="008E286E" w:rsidP="00692AB9">
      <w:pPr>
        <w:pStyle w:val="BDFbulletpoints"/>
        <w:keepLines w:val="0"/>
      </w:pPr>
      <w:r w:rsidRPr="0078285B">
        <w:t xml:space="preserve">Consider a fairer balance between employer and government effort for diversity workforce reporting (disability, ethnicity, gender) by considering whether employers can prepare the data in the payroll systems and HMRC does the reporting. This would also allow for </w:t>
      </w:r>
      <w:r w:rsidR="00106CD8">
        <w:t xml:space="preserve">a </w:t>
      </w:r>
      <w:r w:rsidRPr="0078285B">
        <w:t>better disability pay gap figure at national labour market to be captured</w:t>
      </w:r>
      <w:bookmarkEnd w:id="0"/>
      <w:r w:rsidRPr="0078285B">
        <w:t xml:space="preserve">, and it also removes the need </w:t>
      </w:r>
      <w:r w:rsidR="00106CD8">
        <w:t xml:space="preserve">for </w:t>
      </w:r>
      <w:r w:rsidRPr="0078285B">
        <w:t>enforcement.</w:t>
      </w:r>
    </w:p>
    <w:sectPr w:rsidR="008A58A4" w:rsidRPr="00135DD8" w:rsidSect="000C01BE">
      <w:headerReference w:type="even" r:id="rId14"/>
      <w:headerReference w:type="default" r:id="rId15"/>
      <w:footerReference w:type="even" r:id="rId16"/>
      <w:footerReference w:type="default" r:id="rId17"/>
      <w:headerReference w:type="first" r:id="rId18"/>
      <w:footerReference w:type="first" r:id="rId19"/>
      <w:pgSz w:w="11900" w:h="16840" w:code="9"/>
      <w:pgMar w:top="2268" w:right="1134" w:bottom="2268" w:left="1134" w:header="113" w:footer="57"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F776B3" w14:textId="77777777" w:rsidR="004E3693" w:rsidRDefault="004E3693" w:rsidP="00A1195A">
      <w:r>
        <w:separator/>
      </w:r>
    </w:p>
  </w:endnote>
  <w:endnote w:type="continuationSeparator" w:id="0">
    <w:p w14:paraId="09503D71" w14:textId="77777777" w:rsidR="004E3693" w:rsidRDefault="004E3693" w:rsidP="00A119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embedBold r:id="rId1" w:subsetted="1" w:fontKey="{0B27E8F5-7538-4DD4-A0CD-F133388F0042}"/>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embedRegular r:id="rId2" w:fontKey="{0A1C9709-A21F-42E1-A5B5-174536766ED3}"/>
    <w:embedBold r:id="rId3" w:fontKey="{82DB756F-6793-4D25-82E4-3D1598AFEE4F}"/>
    <w:embedItalic r:id="rId4" w:fontKey="{4410C317-220E-4806-860D-22A3C918E18B}"/>
  </w:font>
  <w:font w:name="MS PGothic">
    <w:panose1 w:val="020B0600070205080204"/>
    <w:charset w:val="80"/>
    <w:family w:val="swiss"/>
    <w:pitch w:val="variable"/>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FuturaMaxiCGBold">
    <w:altName w:val="Century Gothic"/>
    <w:panose1 w:val="00000000000000000000"/>
    <w:charset w:val="00"/>
    <w:family w:val="auto"/>
    <w:notTrueType/>
    <w:pitch w:val="variable"/>
    <w:sig w:usb0="80000027" w:usb1="10000008"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025490" w14:textId="77777777" w:rsidR="004E019A" w:rsidRPr="004E019A" w:rsidRDefault="004E019A" w:rsidP="004E019A">
    <w:pPr>
      <w:pStyle w:val="Footer"/>
      <w:pBdr>
        <w:top w:val="single" w:sz="24" w:space="4" w:color="007AC9" w:themeColor="text2"/>
      </w:pBdr>
      <w:tabs>
        <w:tab w:val="clear" w:pos="4320"/>
        <w:tab w:val="clear" w:pos="8640"/>
        <w:tab w:val="left" w:pos="9356"/>
        <w:tab w:val="right" w:pos="11880"/>
      </w:tabs>
      <w:ind w:left="142"/>
      <w:rPr>
        <w:rFonts w:ascii="Century Gothic" w:hAnsi="Century Gothic"/>
        <w:b/>
        <w:noProof/>
        <w:szCs w:val="24"/>
      </w:rPr>
    </w:pPr>
    <w:r w:rsidRPr="00FB7021">
      <w:rPr>
        <w:rFonts w:ascii="Century Gothic" w:hAnsi="Century Gothic"/>
        <w:b/>
        <w:szCs w:val="24"/>
      </w:rPr>
      <w:t>Business Disability Forum</w:t>
    </w:r>
    <w:r>
      <w:rPr>
        <w:rFonts w:ascii="Century Gothic" w:hAnsi="Century Gothic"/>
        <w:b/>
        <w:szCs w:val="24"/>
      </w:rPr>
      <w:tab/>
    </w:r>
    <w:r w:rsidRPr="00656455">
      <w:rPr>
        <w:rFonts w:ascii="Century Gothic" w:hAnsi="Century Gothic"/>
        <w:b/>
        <w:szCs w:val="24"/>
      </w:rPr>
      <w:fldChar w:fldCharType="begin"/>
    </w:r>
    <w:r w:rsidRPr="00656455">
      <w:rPr>
        <w:rFonts w:ascii="Century Gothic" w:hAnsi="Century Gothic"/>
        <w:b/>
        <w:szCs w:val="24"/>
      </w:rPr>
      <w:instrText xml:space="preserve"> PAGE   \* MERGEFORMAT </w:instrText>
    </w:r>
    <w:r w:rsidRPr="00656455">
      <w:rPr>
        <w:rFonts w:ascii="Century Gothic" w:hAnsi="Century Gothic"/>
        <w:b/>
        <w:szCs w:val="24"/>
      </w:rPr>
      <w:fldChar w:fldCharType="separate"/>
    </w:r>
    <w:r>
      <w:rPr>
        <w:rFonts w:ascii="Century Gothic" w:hAnsi="Century Gothic"/>
        <w:b/>
        <w:szCs w:val="24"/>
      </w:rPr>
      <w:t>1</w:t>
    </w:r>
    <w:r w:rsidRPr="00656455">
      <w:rPr>
        <w:rFonts w:ascii="Century Gothic" w:hAnsi="Century Gothic"/>
        <w:b/>
        <w:noProof/>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69826" w14:textId="77777777" w:rsidR="006464BA" w:rsidRPr="003F04F8" w:rsidRDefault="006464BA" w:rsidP="00062C9A">
    <w:pPr>
      <w:pStyle w:val="Footer"/>
      <w:pBdr>
        <w:top w:val="single" w:sz="24" w:space="4" w:color="007AC9" w:themeColor="text2"/>
      </w:pBdr>
      <w:tabs>
        <w:tab w:val="clear" w:pos="4320"/>
        <w:tab w:val="clear" w:pos="8640"/>
        <w:tab w:val="left" w:pos="9356"/>
        <w:tab w:val="right" w:pos="11880"/>
      </w:tabs>
      <w:ind w:left="142"/>
      <w:rPr>
        <w:rFonts w:ascii="Century Gothic" w:hAnsi="Century Gothic"/>
        <w:b/>
        <w:noProof/>
        <w:szCs w:val="24"/>
      </w:rPr>
    </w:pPr>
    <w:r w:rsidRPr="00FB7021">
      <w:rPr>
        <w:rFonts w:ascii="Century Gothic" w:hAnsi="Century Gothic"/>
        <w:b/>
        <w:szCs w:val="24"/>
      </w:rPr>
      <w:t>Business Disability Forum</w:t>
    </w:r>
    <w:r>
      <w:rPr>
        <w:rFonts w:ascii="Century Gothic" w:hAnsi="Century Gothic"/>
        <w:b/>
        <w:szCs w:val="24"/>
      </w:rPr>
      <w:tab/>
    </w:r>
    <w:r w:rsidRPr="00656455">
      <w:rPr>
        <w:rFonts w:ascii="Century Gothic" w:hAnsi="Century Gothic"/>
        <w:b/>
        <w:szCs w:val="24"/>
      </w:rPr>
      <w:fldChar w:fldCharType="begin"/>
    </w:r>
    <w:r w:rsidRPr="00656455">
      <w:rPr>
        <w:rFonts w:ascii="Century Gothic" w:hAnsi="Century Gothic"/>
        <w:b/>
        <w:szCs w:val="24"/>
      </w:rPr>
      <w:instrText xml:space="preserve"> PAGE   \* MERGEFORMAT </w:instrText>
    </w:r>
    <w:r w:rsidRPr="00656455">
      <w:rPr>
        <w:rFonts w:ascii="Century Gothic" w:hAnsi="Century Gothic"/>
        <w:b/>
        <w:szCs w:val="24"/>
      </w:rPr>
      <w:fldChar w:fldCharType="separate"/>
    </w:r>
    <w:r w:rsidR="00056CDE">
      <w:rPr>
        <w:rFonts w:ascii="Century Gothic" w:hAnsi="Century Gothic"/>
        <w:b/>
        <w:noProof/>
        <w:szCs w:val="24"/>
      </w:rPr>
      <w:t>3</w:t>
    </w:r>
    <w:r w:rsidRPr="00656455">
      <w:rPr>
        <w:rFonts w:ascii="Century Gothic" w:hAnsi="Century Gothic"/>
        <w:b/>
        <w:noProof/>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6F3A5" w14:textId="77777777" w:rsidR="00193A71" w:rsidRDefault="00193A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AEFED3" w14:textId="77777777" w:rsidR="004E3693" w:rsidRDefault="004E3693" w:rsidP="00A1195A">
      <w:r>
        <w:separator/>
      </w:r>
    </w:p>
  </w:footnote>
  <w:footnote w:type="continuationSeparator" w:id="0">
    <w:p w14:paraId="562817C3" w14:textId="77777777" w:rsidR="004E3693" w:rsidRDefault="004E3693" w:rsidP="00A1195A">
      <w:r>
        <w:continuationSeparator/>
      </w:r>
    </w:p>
  </w:footnote>
  <w:footnote w:id="1">
    <w:p w14:paraId="49244B8F" w14:textId="7BA7ACF7" w:rsidR="008E286E" w:rsidRPr="00A51595" w:rsidRDefault="008E286E" w:rsidP="008E286E">
      <w:pPr>
        <w:pStyle w:val="FootnoteText"/>
        <w:rPr>
          <w:sz w:val="20"/>
          <w:szCs w:val="20"/>
        </w:rPr>
      </w:pPr>
      <w:r w:rsidRPr="00A51595">
        <w:rPr>
          <w:rStyle w:val="FootnoteReference"/>
          <w:sz w:val="20"/>
          <w:szCs w:val="20"/>
        </w:rPr>
        <w:footnoteRef/>
      </w:r>
      <w:r w:rsidRPr="00A51595">
        <w:rPr>
          <w:sz w:val="20"/>
          <w:szCs w:val="20"/>
        </w:rPr>
        <w:t xml:space="preserve"> Employees in the disabled employee group were not necessarily working in the same organisations as those in the employer working group.</w:t>
      </w:r>
    </w:p>
  </w:footnote>
  <w:footnote w:id="2">
    <w:p w14:paraId="3E56765D" w14:textId="4C3DD5DE" w:rsidR="000C01BE" w:rsidRPr="000C01BE" w:rsidRDefault="000C01BE">
      <w:pPr>
        <w:pStyle w:val="FootnoteText"/>
        <w:rPr>
          <w:sz w:val="20"/>
          <w:szCs w:val="20"/>
        </w:rPr>
      </w:pPr>
      <w:r w:rsidRPr="000C01BE">
        <w:rPr>
          <w:rStyle w:val="FootnoteReference"/>
          <w:sz w:val="20"/>
          <w:szCs w:val="20"/>
        </w:rPr>
        <w:footnoteRef/>
      </w:r>
      <w:r w:rsidRPr="000C01BE">
        <w:rPr>
          <w:sz w:val="20"/>
          <w:szCs w:val="20"/>
        </w:rPr>
        <w:t xml:space="preserve"> Throughout this response, we have used the term “disclosure” for shorthand. We do however recognise that there is a diversity of views among disabled people on whether they like </w:t>
      </w:r>
      <w:r w:rsidR="002301BC">
        <w:rPr>
          <w:sz w:val="20"/>
          <w:szCs w:val="20"/>
        </w:rPr>
        <w:t>this</w:t>
      </w:r>
      <w:r w:rsidRPr="000C01BE">
        <w:rPr>
          <w:sz w:val="20"/>
          <w:szCs w:val="20"/>
        </w:rPr>
        <w:t xml:space="preserve"> term. Some feel it has negative connotations, and others feel it is an entirely appropriate term</w:t>
      </w:r>
      <w:r w:rsidR="002301BC">
        <w:rPr>
          <w:sz w:val="20"/>
          <w:szCs w:val="20"/>
        </w:rPr>
        <w:t>. We discussed this in our research</w:t>
      </w:r>
      <w:r w:rsidRPr="000C01BE">
        <w:rPr>
          <w:sz w:val="20"/>
          <w:szCs w:val="20"/>
        </w:rPr>
        <w:t xml:space="preserve"> (Business Disability Forum, 2025, </w:t>
      </w:r>
      <w:r w:rsidRPr="000C01BE">
        <w:rPr>
          <w:i/>
          <w:iCs/>
          <w:sz w:val="20"/>
          <w:szCs w:val="20"/>
        </w:rPr>
        <w:t>“Towards meaningful disability workforce and pay gap reporting”</w:t>
      </w:r>
      <w:r w:rsidRPr="000C01BE">
        <w:rPr>
          <w:sz w:val="20"/>
          <w:szCs w:val="20"/>
        </w:rPr>
        <w:t>, pages 58-59)</w:t>
      </w:r>
      <w:r w:rsidR="002301BC">
        <w:rPr>
          <w:sz w:val="20"/>
          <w:szCs w:val="20"/>
        </w:rPr>
        <w:t>.</w:t>
      </w:r>
    </w:p>
  </w:footnote>
  <w:footnote w:id="3">
    <w:p w14:paraId="140F447D" w14:textId="0BBC26C8" w:rsidR="005B0863" w:rsidRPr="005B0863" w:rsidRDefault="005B0863">
      <w:pPr>
        <w:pStyle w:val="FootnoteText"/>
        <w:rPr>
          <w:sz w:val="20"/>
          <w:szCs w:val="20"/>
        </w:rPr>
      </w:pPr>
      <w:r w:rsidRPr="005B0863">
        <w:rPr>
          <w:rStyle w:val="FootnoteReference"/>
          <w:sz w:val="20"/>
          <w:szCs w:val="20"/>
        </w:rPr>
        <w:footnoteRef/>
      </w:r>
      <w:r w:rsidRPr="005B0863">
        <w:rPr>
          <w:sz w:val="20"/>
          <w:szCs w:val="20"/>
        </w:rPr>
        <w:t xml:space="preserve"> Business Disability Forum (2023) </w:t>
      </w:r>
      <w:r w:rsidRPr="005B0863">
        <w:rPr>
          <w:i/>
          <w:iCs/>
          <w:sz w:val="20"/>
          <w:szCs w:val="20"/>
        </w:rPr>
        <w:t>“Towards meaningful disability workforce and pay gap reporting”</w:t>
      </w:r>
      <w:r w:rsidRPr="005B0863">
        <w:rPr>
          <w:sz w:val="20"/>
          <w:szCs w:val="20"/>
        </w:rPr>
        <w:t xml:space="preserve"> (pages 45-46).</w:t>
      </w:r>
    </w:p>
  </w:footnote>
  <w:footnote w:id="4">
    <w:p w14:paraId="09AEB6EB" w14:textId="3A501985" w:rsidR="003D6138" w:rsidRDefault="003D6138">
      <w:pPr>
        <w:pStyle w:val="FootnoteText"/>
      </w:pPr>
      <w:r>
        <w:rPr>
          <w:rStyle w:val="FootnoteReference"/>
        </w:rPr>
        <w:footnoteRef/>
      </w:r>
      <w:r>
        <w:t xml:space="preserve"> </w:t>
      </w:r>
      <w:r w:rsidRPr="003D6138">
        <w:t xml:space="preserve"> </w:t>
      </w:r>
      <w:r w:rsidRPr="003E6693">
        <w:rPr>
          <w:sz w:val="20"/>
          <w:szCs w:val="20"/>
        </w:rPr>
        <w:t xml:space="preserve">Available on gov.uk at: </w:t>
      </w:r>
      <w:hyperlink r:id="rId1" w:history="1">
        <w:r w:rsidRPr="003E6693">
          <w:rPr>
            <w:rStyle w:val="Hyperlink"/>
            <w:sz w:val="20"/>
            <w:szCs w:val="20"/>
          </w:rPr>
          <w:t>https://www.gov.uk/government/publications/ethnicity-pay-reporting-guidance-for-employers/understanding-and-reporting-your-data</w:t>
        </w:r>
      </w:hyperlink>
      <w:r w:rsidRPr="003E6693">
        <w:rPr>
          <w:sz w:val="20"/>
          <w:szCs w:val="20"/>
        </w:rPr>
        <w:t xml:space="preserve"> (paragraph 1.3).</w:t>
      </w:r>
    </w:p>
  </w:footnote>
  <w:footnote w:id="5">
    <w:p w14:paraId="16E258D3" w14:textId="53C7E540" w:rsidR="005B0863" w:rsidRDefault="005B0863">
      <w:pPr>
        <w:pStyle w:val="FootnoteText"/>
      </w:pPr>
      <w:r>
        <w:rPr>
          <w:rStyle w:val="FootnoteReference"/>
        </w:rPr>
        <w:footnoteRef/>
      </w:r>
      <w:r>
        <w:t xml:space="preserve"> </w:t>
      </w:r>
      <w:r w:rsidRPr="005B0863">
        <w:rPr>
          <w:sz w:val="20"/>
          <w:szCs w:val="20"/>
        </w:rPr>
        <w:t xml:space="preserve">Business Disability Forum (2023) </w:t>
      </w:r>
      <w:r w:rsidRPr="005B0863">
        <w:rPr>
          <w:i/>
          <w:iCs/>
          <w:sz w:val="20"/>
          <w:szCs w:val="20"/>
        </w:rPr>
        <w:t>“Towards meaningful disability workforce and pay gap reporting”</w:t>
      </w:r>
      <w:r w:rsidRPr="005B0863">
        <w:rPr>
          <w:sz w:val="20"/>
          <w:szCs w:val="20"/>
        </w:rPr>
        <w:t xml:space="preserve"> (pages </w:t>
      </w:r>
      <w:r>
        <w:rPr>
          <w:sz w:val="20"/>
          <w:szCs w:val="20"/>
        </w:rPr>
        <w:t>25-27</w:t>
      </w:r>
      <w:r w:rsidRPr="005B0863">
        <w:rPr>
          <w:sz w:val="20"/>
          <w:szCs w:val="20"/>
        </w:rPr>
        <w:t>).</w:t>
      </w:r>
    </w:p>
  </w:footnote>
  <w:footnote w:id="6">
    <w:p w14:paraId="1F1EC244" w14:textId="2E813592" w:rsidR="008E286E" w:rsidRPr="00D65F72" w:rsidRDefault="008E286E" w:rsidP="008E286E">
      <w:pPr>
        <w:pStyle w:val="FootnoteText"/>
        <w:rPr>
          <w:sz w:val="20"/>
          <w:szCs w:val="20"/>
        </w:rPr>
      </w:pPr>
      <w:r w:rsidRPr="00D65F72">
        <w:rPr>
          <w:rStyle w:val="FootnoteReference"/>
          <w:sz w:val="20"/>
          <w:szCs w:val="20"/>
        </w:rPr>
        <w:footnoteRef/>
      </w:r>
      <w:r w:rsidRPr="00D65F72">
        <w:rPr>
          <w:sz w:val="20"/>
          <w:szCs w:val="20"/>
        </w:rPr>
        <w:t xml:space="preserve"> We collected</w:t>
      </w:r>
      <w:r w:rsidR="0078285B">
        <w:rPr>
          <w:sz w:val="20"/>
          <w:szCs w:val="20"/>
        </w:rPr>
        <w:t xml:space="preserve"> the names of </w:t>
      </w:r>
      <w:r w:rsidRPr="00D65F72">
        <w:rPr>
          <w:sz w:val="20"/>
          <w:szCs w:val="20"/>
        </w:rPr>
        <w:t xml:space="preserve">the most used HR and workforce management systems from among </w:t>
      </w:r>
      <w:r w:rsidR="0078285B">
        <w:rPr>
          <w:sz w:val="20"/>
          <w:szCs w:val="20"/>
        </w:rPr>
        <w:t>our working</w:t>
      </w:r>
      <w:r w:rsidRPr="00D65F72">
        <w:rPr>
          <w:sz w:val="20"/>
          <w:szCs w:val="20"/>
        </w:rPr>
        <w:t xml:space="preserve"> group and shared these with the government so that the government could work with these systems providers directly.</w:t>
      </w:r>
    </w:p>
  </w:footnote>
  <w:footnote w:id="7">
    <w:p w14:paraId="7A0F74E1" w14:textId="77777777" w:rsidR="008E286E" w:rsidRPr="003006F6" w:rsidRDefault="008E286E" w:rsidP="008E286E">
      <w:pPr>
        <w:pStyle w:val="FootnoteText"/>
        <w:rPr>
          <w:sz w:val="20"/>
          <w:szCs w:val="20"/>
        </w:rPr>
      </w:pPr>
      <w:r w:rsidRPr="003006F6">
        <w:rPr>
          <w:rStyle w:val="FootnoteReference"/>
          <w:sz w:val="20"/>
          <w:szCs w:val="20"/>
        </w:rPr>
        <w:footnoteRef/>
      </w:r>
      <w:r w:rsidRPr="003006F6">
        <w:rPr>
          <w:sz w:val="20"/>
          <w:szCs w:val="20"/>
        </w:rPr>
        <w:t xml:space="preserve"> Business Disability Forum (2025) “</w:t>
      </w:r>
      <w:r w:rsidRPr="003006F6">
        <w:rPr>
          <w:i/>
          <w:iCs/>
          <w:sz w:val="20"/>
          <w:szCs w:val="20"/>
        </w:rPr>
        <w:t>Towards meaningful disability workforce and pay gap reporting”</w:t>
      </w:r>
      <w:r w:rsidRPr="003006F6">
        <w:rPr>
          <w:sz w:val="20"/>
          <w:szCs w:val="20"/>
        </w:rPr>
        <w:t xml:space="preserve"> (page 64-66).</w:t>
      </w:r>
    </w:p>
  </w:footnote>
  <w:footnote w:id="8">
    <w:p w14:paraId="3A46906A" w14:textId="729FB3E6" w:rsidR="00AD4DA4" w:rsidRDefault="00AD4DA4">
      <w:pPr>
        <w:pStyle w:val="FootnoteText"/>
      </w:pPr>
      <w:r>
        <w:rPr>
          <w:rStyle w:val="FootnoteReference"/>
        </w:rPr>
        <w:footnoteRef/>
      </w:r>
      <w:r>
        <w:t xml:space="preserve"> </w:t>
      </w:r>
      <w:r w:rsidRPr="00AD4DA4">
        <w:rPr>
          <w:sz w:val="20"/>
          <w:szCs w:val="20"/>
        </w:rPr>
        <w:t>Education</w:t>
      </w:r>
      <w:r>
        <w:rPr>
          <w:sz w:val="20"/>
          <w:szCs w:val="20"/>
        </w:rPr>
        <w:t>,</w:t>
      </w:r>
      <w:r w:rsidRPr="00AD4DA4">
        <w:rPr>
          <w:sz w:val="20"/>
          <w:szCs w:val="20"/>
        </w:rPr>
        <w:t xml:space="preserve"> Health</w:t>
      </w:r>
      <w:r>
        <w:rPr>
          <w:sz w:val="20"/>
          <w:szCs w:val="20"/>
        </w:rPr>
        <w:t>,</w:t>
      </w:r>
      <w:r w:rsidRPr="00AD4DA4">
        <w:rPr>
          <w:sz w:val="20"/>
          <w:szCs w:val="20"/>
        </w:rPr>
        <w:t xml:space="preserve"> and Care Plan (EHCP).</w:t>
      </w:r>
    </w:p>
  </w:footnote>
  <w:footnote w:id="9">
    <w:p w14:paraId="3E03D533" w14:textId="77777777" w:rsidR="008E286E" w:rsidRPr="001A4095" w:rsidRDefault="008E286E" w:rsidP="008E286E">
      <w:pPr>
        <w:pStyle w:val="FootnoteText"/>
        <w:rPr>
          <w:sz w:val="20"/>
          <w:szCs w:val="20"/>
        </w:rPr>
      </w:pPr>
      <w:r w:rsidRPr="003006F6">
        <w:rPr>
          <w:rStyle w:val="FootnoteReference"/>
          <w:sz w:val="20"/>
          <w:szCs w:val="20"/>
        </w:rPr>
        <w:footnoteRef/>
      </w:r>
      <w:r w:rsidRPr="003006F6">
        <w:rPr>
          <w:sz w:val="20"/>
          <w:szCs w:val="20"/>
        </w:rPr>
        <w:t xml:space="preserve"> </w:t>
      </w:r>
      <w:r>
        <w:rPr>
          <w:sz w:val="20"/>
          <w:szCs w:val="20"/>
        </w:rPr>
        <w:t>Business Disability Forum (2025) “</w:t>
      </w:r>
      <w:r w:rsidRPr="003006F6">
        <w:rPr>
          <w:i/>
          <w:iCs/>
          <w:sz w:val="20"/>
          <w:szCs w:val="20"/>
        </w:rPr>
        <w:t>Towards meaningful disability workforce and pay gap reporting</w:t>
      </w:r>
      <w:r>
        <w:rPr>
          <w:i/>
          <w:iCs/>
          <w:sz w:val="20"/>
          <w:szCs w:val="20"/>
        </w:rPr>
        <w:t>”</w:t>
      </w:r>
      <w:r>
        <w:rPr>
          <w:sz w:val="20"/>
          <w:szCs w:val="20"/>
        </w:rPr>
        <w:t xml:space="preserve"> (page 66).</w:t>
      </w:r>
    </w:p>
  </w:footnote>
  <w:footnote w:id="10">
    <w:p w14:paraId="3416C9F0" w14:textId="77777777" w:rsidR="008E286E" w:rsidRPr="00D65F72" w:rsidRDefault="008E286E" w:rsidP="008E286E">
      <w:pPr>
        <w:rPr>
          <w:sz w:val="20"/>
          <w:szCs w:val="20"/>
        </w:rPr>
      </w:pPr>
      <w:r w:rsidRPr="00D65F72">
        <w:rPr>
          <w:rStyle w:val="FootnoteReference"/>
          <w:sz w:val="20"/>
          <w:szCs w:val="20"/>
        </w:rPr>
        <w:footnoteRef/>
      </w:r>
      <w:r w:rsidRPr="00D65F72">
        <w:rPr>
          <w:sz w:val="20"/>
          <w:szCs w:val="20"/>
        </w:rPr>
        <w:t xml:space="preserve"> The Work and Pensions Committee’s disability employment gap second inquiry report said: “Some disabled people we heard from spoke highly of a technique called job carving. Job carving is when an employer tailors or creates roles that best match the skills of an employee. The Equality and Human Rights Commission has identified job carving as a method which could improve disabled peoples’ employment outcomes. The Department already encourages providers of some of its disability programmes to engage with employers to job carve roles for participants, but it could and should do more. We recommend that, as part of its National Strategy for Disabled People, DWP should provide detailed guidance to employers and providers of its programmes about how they can job carve roles for disabled people” (paragraphs 74-78).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97B630" w14:textId="77777777" w:rsidR="004E019A" w:rsidRDefault="004E01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6D204C" w14:textId="77777777" w:rsidR="004E019A" w:rsidRDefault="004E01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198E20" w14:textId="77777777" w:rsidR="004E019A" w:rsidRDefault="00361D49" w:rsidP="00E921CC">
    <w:pPr>
      <w:pStyle w:val="Header"/>
    </w:pPr>
    <w:r>
      <w:rPr>
        <w:noProof/>
      </w:rPr>
      <w:drawing>
        <wp:inline distT="0" distB="0" distL="0" distR="0" wp14:anchorId="12211CDB" wp14:editId="1B5CB3BC">
          <wp:extent cx="1861185" cy="1953928"/>
          <wp:effectExtent l="0" t="0" r="5715" b="1905"/>
          <wp:docPr id="1196133976" name="Picture 1196133976" descr="Business Disability Forum, creating a disability-smart togeth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DF_Master_Logo_fullColour_RGB_digital.jpg"/>
                  <pic:cNvPicPr/>
                </pic:nvPicPr>
                <pic:blipFill rotWithShape="1">
                  <a:blip r:embed="rId1"/>
                  <a:srcRect l="13634" t="1770" r="13997" b="331"/>
                  <a:stretch/>
                </pic:blipFill>
                <pic:spPr bwMode="auto">
                  <a:xfrm>
                    <a:off x="0" y="0"/>
                    <a:ext cx="1861795" cy="1954568"/>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D758E7B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208B74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7F458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45ADD5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A2651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AB0A02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8D25C2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222414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A4621A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C7403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E82219"/>
    <w:multiLevelType w:val="hybridMultilevel"/>
    <w:tmpl w:val="8B1ACF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6077384"/>
    <w:multiLevelType w:val="hybridMultilevel"/>
    <w:tmpl w:val="B4BE7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FF731D9"/>
    <w:multiLevelType w:val="hybridMultilevel"/>
    <w:tmpl w:val="3BFA35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0DC6D1D"/>
    <w:multiLevelType w:val="hybridMultilevel"/>
    <w:tmpl w:val="B454AB82"/>
    <w:lvl w:ilvl="0" w:tplc="787CC3A2">
      <w:start w:val="1"/>
      <w:numFmt w:val="lowerLetter"/>
      <w:pStyle w:val="BDFLetterlist"/>
      <w:lvlText w:val="%1)"/>
      <w:lvlJc w:val="left"/>
      <w:pPr>
        <w:ind w:left="360" w:hanging="360"/>
      </w:pPr>
      <w:rPr>
        <w:rFonts w:hint="default"/>
        <w:b w:val="0"/>
      </w:rPr>
    </w:lvl>
    <w:lvl w:ilvl="1" w:tplc="04090019">
      <w:start w:val="1"/>
      <w:numFmt w:val="lowerLetter"/>
      <w:lvlText w:val="%2."/>
      <w:lvlJc w:val="left"/>
      <w:pPr>
        <w:ind w:left="1080" w:hanging="360"/>
      </w:pPr>
    </w:lvl>
    <w:lvl w:ilvl="2" w:tplc="4F304C36">
      <w:numFmt w:val="bullet"/>
      <w:lvlText w:val="•"/>
      <w:lvlJc w:val="left"/>
      <w:pPr>
        <w:ind w:left="1980" w:hanging="360"/>
      </w:pPr>
      <w:rPr>
        <w:rFonts w:ascii="Century Gothic" w:eastAsia="Helvetica" w:hAnsi="Century Gothic" w:cs="Helvetica"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11727A1"/>
    <w:multiLevelType w:val="hybridMultilevel"/>
    <w:tmpl w:val="EE12A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3703A8"/>
    <w:multiLevelType w:val="hybridMultilevel"/>
    <w:tmpl w:val="EED4D5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7E9429C"/>
    <w:multiLevelType w:val="hybridMultilevel"/>
    <w:tmpl w:val="4C66354E"/>
    <w:lvl w:ilvl="0" w:tplc="442A4D2A">
      <w:start w:val="1"/>
      <w:numFmt w:val="bullet"/>
      <w:pStyle w:val="BDFbulletpoints"/>
      <w:lvlText w:val=""/>
      <w:lvlJc w:val="left"/>
      <w:pPr>
        <w:ind w:left="360" w:hanging="360"/>
      </w:pPr>
      <w:rPr>
        <w:rFonts w:ascii="Symbol" w:hAnsi="Symbol" w:hint="default"/>
        <w:b/>
        <w:bCs/>
        <w:i w:val="0"/>
        <w:iCs w:val="0"/>
        <w:color w:val="007AC9"/>
        <w:sz w:val="24"/>
        <w:szCs w:val="24"/>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3F140D"/>
    <w:multiLevelType w:val="hybridMultilevel"/>
    <w:tmpl w:val="BE7E5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D6251C5"/>
    <w:multiLevelType w:val="hybridMultilevel"/>
    <w:tmpl w:val="7694A8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416BD7"/>
    <w:multiLevelType w:val="hybridMultilevel"/>
    <w:tmpl w:val="D4E29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ED053E0"/>
    <w:multiLevelType w:val="hybridMultilevel"/>
    <w:tmpl w:val="F2728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1D6732"/>
    <w:multiLevelType w:val="hybridMultilevel"/>
    <w:tmpl w:val="F2F6860E"/>
    <w:lvl w:ilvl="0" w:tplc="156AC85C">
      <w:start w:val="1"/>
      <w:numFmt w:val="decimal"/>
      <w:pStyle w:val="BDFNumberlist"/>
      <w:lvlText w:val="%1."/>
      <w:lvlJc w:val="left"/>
      <w:pPr>
        <w:ind w:left="360" w:hanging="360"/>
      </w:pPr>
      <w:rPr>
        <w:rFonts w:ascii="Arial" w:hAnsi="Arial" w:hint="default"/>
        <w:b/>
        <w:bCs/>
        <w:i w:val="0"/>
        <w:iCs w:val="0"/>
        <w:color w:val="007AC9" w:themeColor="text2"/>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28243BCA">
      <w:numFmt w:val="bullet"/>
      <w:lvlText w:val="•"/>
      <w:lvlJc w:val="left"/>
      <w:pPr>
        <w:ind w:left="2520" w:hanging="360"/>
      </w:pPr>
      <w:rPr>
        <w:rFonts w:ascii="Arial" w:eastAsia="Helvetica" w:hAnsi="Arial" w:cs="Aria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D710356"/>
    <w:multiLevelType w:val="multilevel"/>
    <w:tmpl w:val="35FA3B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4B24C6F"/>
    <w:multiLevelType w:val="hybridMultilevel"/>
    <w:tmpl w:val="1A929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8B06302"/>
    <w:multiLevelType w:val="hybridMultilevel"/>
    <w:tmpl w:val="1C94C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3210393"/>
    <w:multiLevelType w:val="multilevel"/>
    <w:tmpl w:val="99527D5E"/>
    <w:styleLink w:val="BulletBig"/>
    <w:lvl w:ilvl="0">
      <w:numFmt w:val="bullet"/>
      <w:lvlText w:val="•"/>
      <w:lvlJc w:val="left"/>
      <w:pPr>
        <w:tabs>
          <w:tab w:val="num" w:pos="262"/>
        </w:tabs>
        <w:ind w:left="262" w:hanging="262"/>
      </w:pPr>
      <w:rPr>
        <w:b/>
        <w:bCs/>
        <w:position w:val="0"/>
        <w:sz w:val="29"/>
        <w:szCs w:val="29"/>
      </w:rPr>
    </w:lvl>
    <w:lvl w:ilvl="1">
      <w:start w:val="1"/>
      <w:numFmt w:val="bullet"/>
      <w:lvlText w:val="•"/>
      <w:lvlJc w:val="left"/>
      <w:pPr>
        <w:tabs>
          <w:tab w:val="num" w:pos="502"/>
        </w:tabs>
        <w:ind w:left="502" w:hanging="262"/>
      </w:pPr>
      <w:rPr>
        <w:b/>
        <w:bCs/>
        <w:position w:val="0"/>
        <w:sz w:val="29"/>
        <w:szCs w:val="29"/>
      </w:rPr>
    </w:lvl>
    <w:lvl w:ilvl="2">
      <w:start w:val="1"/>
      <w:numFmt w:val="bullet"/>
      <w:lvlText w:val="•"/>
      <w:lvlJc w:val="left"/>
      <w:pPr>
        <w:tabs>
          <w:tab w:val="num" w:pos="742"/>
        </w:tabs>
        <w:ind w:left="742" w:hanging="262"/>
      </w:pPr>
      <w:rPr>
        <w:b/>
        <w:bCs/>
        <w:position w:val="0"/>
        <w:sz w:val="29"/>
        <w:szCs w:val="29"/>
      </w:rPr>
    </w:lvl>
    <w:lvl w:ilvl="3">
      <w:start w:val="1"/>
      <w:numFmt w:val="bullet"/>
      <w:lvlText w:val="•"/>
      <w:lvlJc w:val="left"/>
      <w:pPr>
        <w:tabs>
          <w:tab w:val="num" w:pos="982"/>
        </w:tabs>
        <w:ind w:left="982" w:hanging="262"/>
      </w:pPr>
      <w:rPr>
        <w:b/>
        <w:bCs/>
        <w:position w:val="0"/>
        <w:sz w:val="29"/>
        <w:szCs w:val="29"/>
      </w:rPr>
    </w:lvl>
    <w:lvl w:ilvl="4">
      <w:start w:val="1"/>
      <w:numFmt w:val="bullet"/>
      <w:lvlText w:val="•"/>
      <w:lvlJc w:val="left"/>
      <w:pPr>
        <w:tabs>
          <w:tab w:val="num" w:pos="1222"/>
        </w:tabs>
        <w:ind w:left="1222" w:hanging="262"/>
      </w:pPr>
      <w:rPr>
        <w:b/>
        <w:bCs/>
        <w:position w:val="0"/>
        <w:sz w:val="29"/>
        <w:szCs w:val="29"/>
      </w:rPr>
    </w:lvl>
    <w:lvl w:ilvl="5">
      <w:start w:val="1"/>
      <w:numFmt w:val="bullet"/>
      <w:lvlText w:val="•"/>
      <w:lvlJc w:val="left"/>
      <w:pPr>
        <w:tabs>
          <w:tab w:val="num" w:pos="1462"/>
        </w:tabs>
        <w:ind w:left="1462" w:hanging="262"/>
      </w:pPr>
      <w:rPr>
        <w:b/>
        <w:bCs/>
        <w:position w:val="0"/>
        <w:sz w:val="29"/>
        <w:szCs w:val="29"/>
      </w:rPr>
    </w:lvl>
    <w:lvl w:ilvl="6">
      <w:start w:val="1"/>
      <w:numFmt w:val="bullet"/>
      <w:lvlText w:val="•"/>
      <w:lvlJc w:val="left"/>
      <w:pPr>
        <w:tabs>
          <w:tab w:val="num" w:pos="1702"/>
        </w:tabs>
        <w:ind w:left="1702" w:hanging="262"/>
      </w:pPr>
      <w:rPr>
        <w:b/>
        <w:bCs/>
        <w:position w:val="0"/>
        <w:sz w:val="29"/>
        <w:szCs w:val="29"/>
      </w:rPr>
    </w:lvl>
    <w:lvl w:ilvl="7">
      <w:start w:val="1"/>
      <w:numFmt w:val="bullet"/>
      <w:lvlText w:val="•"/>
      <w:lvlJc w:val="left"/>
      <w:pPr>
        <w:tabs>
          <w:tab w:val="num" w:pos="1942"/>
        </w:tabs>
        <w:ind w:left="1942" w:hanging="262"/>
      </w:pPr>
      <w:rPr>
        <w:b/>
        <w:bCs/>
        <w:position w:val="0"/>
        <w:sz w:val="29"/>
        <w:szCs w:val="29"/>
      </w:rPr>
    </w:lvl>
    <w:lvl w:ilvl="8">
      <w:start w:val="1"/>
      <w:numFmt w:val="bullet"/>
      <w:lvlText w:val="•"/>
      <w:lvlJc w:val="left"/>
      <w:pPr>
        <w:tabs>
          <w:tab w:val="num" w:pos="2182"/>
        </w:tabs>
        <w:ind w:left="2182" w:hanging="262"/>
      </w:pPr>
      <w:rPr>
        <w:b/>
        <w:bCs/>
        <w:position w:val="0"/>
        <w:sz w:val="29"/>
        <w:szCs w:val="29"/>
      </w:rPr>
    </w:lvl>
  </w:abstractNum>
  <w:abstractNum w:abstractNumId="26" w15:restartNumberingAfterBreak="0">
    <w:nsid w:val="792B451D"/>
    <w:multiLevelType w:val="hybridMultilevel"/>
    <w:tmpl w:val="407E95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A001BDD"/>
    <w:multiLevelType w:val="hybridMultilevel"/>
    <w:tmpl w:val="B1F829A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56626353">
    <w:abstractNumId w:val="25"/>
  </w:num>
  <w:num w:numId="2" w16cid:durableId="1998917084">
    <w:abstractNumId w:val="16"/>
  </w:num>
  <w:num w:numId="3" w16cid:durableId="265039109">
    <w:abstractNumId w:val="27"/>
  </w:num>
  <w:num w:numId="4" w16cid:durableId="1673490985">
    <w:abstractNumId w:val="13"/>
    <w:lvlOverride w:ilvl="0">
      <w:startOverride w:val="1"/>
    </w:lvlOverride>
  </w:num>
  <w:num w:numId="5" w16cid:durableId="1380932705">
    <w:abstractNumId w:val="13"/>
  </w:num>
  <w:num w:numId="6" w16cid:durableId="722828959">
    <w:abstractNumId w:val="21"/>
  </w:num>
  <w:num w:numId="7" w16cid:durableId="238172851">
    <w:abstractNumId w:val="13"/>
    <w:lvlOverride w:ilvl="0">
      <w:startOverride w:val="1"/>
    </w:lvlOverride>
  </w:num>
  <w:num w:numId="8" w16cid:durableId="533621922">
    <w:abstractNumId w:val="13"/>
    <w:lvlOverride w:ilvl="0">
      <w:startOverride w:val="1"/>
    </w:lvlOverride>
  </w:num>
  <w:num w:numId="9" w16cid:durableId="339745636">
    <w:abstractNumId w:val="10"/>
  </w:num>
  <w:num w:numId="10" w16cid:durableId="1867938278">
    <w:abstractNumId w:val="15"/>
  </w:num>
  <w:num w:numId="11" w16cid:durableId="2108308621">
    <w:abstractNumId w:val="23"/>
  </w:num>
  <w:num w:numId="12" w16cid:durableId="1802577908">
    <w:abstractNumId w:val="12"/>
  </w:num>
  <w:num w:numId="13" w16cid:durableId="171921231">
    <w:abstractNumId w:val="17"/>
  </w:num>
  <w:num w:numId="14" w16cid:durableId="1052121678">
    <w:abstractNumId w:val="18"/>
  </w:num>
  <w:num w:numId="15" w16cid:durableId="1653367262">
    <w:abstractNumId w:val="19"/>
  </w:num>
  <w:num w:numId="16" w16cid:durableId="880552477">
    <w:abstractNumId w:val="24"/>
  </w:num>
  <w:num w:numId="17" w16cid:durableId="1839731297">
    <w:abstractNumId w:val="14"/>
  </w:num>
  <w:num w:numId="18" w16cid:durableId="445392236">
    <w:abstractNumId w:val="11"/>
  </w:num>
  <w:num w:numId="19" w16cid:durableId="1771126967">
    <w:abstractNumId w:val="22"/>
  </w:num>
  <w:num w:numId="20" w16cid:durableId="1428883409">
    <w:abstractNumId w:val="26"/>
  </w:num>
  <w:num w:numId="21" w16cid:durableId="1946844029">
    <w:abstractNumId w:val="20"/>
  </w:num>
  <w:num w:numId="22" w16cid:durableId="366679778">
    <w:abstractNumId w:val="0"/>
  </w:num>
  <w:num w:numId="23" w16cid:durableId="2114352162">
    <w:abstractNumId w:val="1"/>
  </w:num>
  <w:num w:numId="24" w16cid:durableId="524634620">
    <w:abstractNumId w:val="2"/>
  </w:num>
  <w:num w:numId="25" w16cid:durableId="1518734497">
    <w:abstractNumId w:val="3"/>
  </w:num>
  <w:num w:numId="26" w16cid:durableId="1659073403">
    <w:abstractNumId w:val="8"/>
  </w:num>
  <w:num w:numId="27" w16cid:durableId="1234974531">
    <w:abstractNumId w:val="4"/>
  </w:num>
  <w:num w:numId="28" w16cid:durableId="1233585818">
    <w:abstractNumId w:val="5"/>
  </w:num>
  <w:num w:numId="29" w16cid:durableId="1753508675">
    <w:abstractNumId w:val="6"/>
  </w:num>
  <w:num w:numId="30" w16cid:durableId="1628776120">
    <w:abstractNumId w:val="7"/>
  </w:num>
  <w:num w:numId="31" w16cid:durableId="1181235882">
    <w:abstractNumId w:val="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embedSystemFonts/>
  <w:saveSubsetFonts/>
  <w:activeWritingStyle w:appName="MSWord" w:lang="en-US" w:vendorID="64" w:dllVersion="6" w:nlCheck="1" w:checkStyle="1"/>
  <w:activeWritingStyle w:appName="MSWord" w:lang="en-GB"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en-GB" w:vendorID="64" w:dllVersion="0" w:nlCheck="1" w:checkStyle="0"/>
  <w:activeWritingStyle w:appName="MSWord" w:lang="en-US" w:vendorID="64" w:dllVersion="0" w:nlCheck="1" w:checkStyle="0"/>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dit="readOnly" w:formatting="1" w:enforcement="0"/>
  <w:defaultTabStop w:val="227"/>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86E"/>
    <w:rsid w:val="000006FD"/>
    <w:rsid w:val="00001C50"/>
    <w:rsid w:val="00001D79"/>
    <w:rsid w:val="00001FCB"/>
    <w:rsid w:val="0000220A"/>
    <w:rsid w:val="000037B7"/>
    <w:rsid w:val="00003B47"/>
    <w:rsid w:val="00006346"/>
    <w:rsid w:val="00007584"/>
    <w:rsid w:val="00007D85"/>
    <w:rsid w:val="00007F20"/>
    <w:rsid w:val="00010CEC"/>
    <w:rsid w:val="00011DE1"/>
    <w:rsid w:val="00012074"/>
    <w:rsid w:val="00012242"/>
    <w:rsid w:val="0001308D"/>
    <w:rsid w:val="000179FC"/>
    <w:rsid w:val="00020BCC"/>
    <w:rsid w:val="0002145D"/>
    <w:rsid w:val="00021ADA"/>
    <w:rsid w:val="0002330D"/>
    <w:rsid w:val="00024BC5"/>
    <w:rsid w:val="0002522D"/>
    <w:rsid w:val="00027A59"/>
    <w:rsid w:val="000310C0"/>
    <w:rsid w:val="00031C61"/>
    <w:rsid w:val="00033371"/>
    <w:rsid w:val="000365EB"/>
    <w:rsid w:val="0003688D"/>
    <w:rsid w:val="00037638"/>
    <w:rsid w:val="000376F8"/>
    <w:rsid w:val="00037CEB"/>
    <w:rsid w:val="00041B78"/>
    <w:rsid w:val="00043881"/>
    <w:rsid w:val="0004442D"/>
    <w:rsid w:val="00044A2C"/>
    <w:rsid w:val="00046C94"/>
    <w:rsid w:val="00047919"/>
    <w:rsid w:val="00050488"/>
    <w:rsid w:val="0005341E"/>
    <w:rsid w:val="00053BCC"/>
    <w:rsid w:val="00054A84"/>
    <w:rsid w:val="00055474"/>
    <w:rsid w:val="00055C6C"/>
    <w:rsid w:val="00056CDE"/>
    <w:rsid w:val="000574A0"/>
    <w:rsid w:val="0005755A"/>
    <w:rsid w:val="00060338"/>
    <w:rsid w:val="00060820"/>
    <w:rsid w:val="00062166"/>
    <w:rsid w:val="00062C9A"/>
    <w:rsid w:val="00064F92"/>
    <w:rsid w:val="00065B72"/>
    <w:rsid w:val="00065F7B"/>
    <w:rsid w:val="0006770F"/>
    <w:rsid w:val="0007045B"/>
    <w:rsid w:val="000716BE"/>
    <w:rsid w:val="00076185"/>
    <w:rsid w:val="00080B83"/>
    <w:rsid w:val="00080D5A"/>
    <w:rsid w:val="00081FBC"/>
    <w:rsid w:val="0008467E"/>
    <w:rsid w:val="00087652"/>
    <w:rsid w:val="000877AF"/>
    <w:rsid w:val="00092550"/>
    <w:rsid w:val="00092DAC"/>
    <w:rsid w:val="00093E3A"/>
    <w:rsid w:val="00093F36"/>
    <w:rsid w:val="00094A30"/>
    <w:rsid w:val="00094E55"/>
    <w:rsid w:val="000A0D1A"/>
    <w:rsid w:val="000A0EBF"/>
    <w:rsid w:val="000A3633"/>
    <w:rsid w:val="000A4E5E"/>
    <w:rsid w:val="000A6019"/>
    <w:rsid w:val="000B005A"/>
    <w:rsid w:val="000B12CE"/>
    <w:rsid w:val="000B2E98"/>
    <w:rsid w:val="000B4181"/>
    <w:rsid w:val="000B4197"/>
    <w:rsid w:val="000B4295"/>
    <w:rsid w:val="000B5929"/>
    <w:rsid w:val="000C01BE"/>
    <w:rsid w:val="000C1C7A"/>
    <w:rsid w:val="000C1DFB"/>
    <w:rsid w:val="000C541C"/>
    <w:rsid w:val="000C59C6"/>
    <w:rsid w:val="000C5A36"/>
    <w:rsid w:val="000C5B32"/>
    <w:rsid w:val="000D23DE"/>
    <w:rsid w:val="000D4118"/>
    <w:rsid w:val="000E29DF"/>
    <w:rsid w:val="000E559C"/>
    <w:rsid w:val="000E58A0"/>
    <w:rsid w:val="000E60C6"/>
    <w:rsid w:val="000E6D35"/>
    <w:rsid w:val="000E7685"/>
    <w:rsid w:val="000F3F5A"/>
    <w:rsid w:val="000F42B3"/>
    <w:rsid w:val="000F4A9E"/>
    <w:rsid w:val="000F5385"/>
    <w:rsid w:val="000F6963"/>
    <w:rsid w:val="000F6A5F"/>
    <w:rsid w:val="00100EFC"/>
    <w:rsid w:val="001010A2"/>
    <w:rsid w:val="00101FF3"/>
    <w:rsid w:val="00102949"/>
    <w:rsid w:val="0010633C"/>
    <w:rsid w:val="00106CD8"/>
    <w:rsid w:val="0011040A"/>
    <w:rsid w:val="00111D80"/>
    <w:rsid w:val="00113FCE"/>
    <w:rsid w:val="001145AD"/>
    <w:rsid w:val="00114722"/>
    <w:rsid w:val="00114E5F"/>
    <w:rsid w:val="00115B42"/>
    <w:rsid w:val="001177C9"/>
    <w:rsid w:val="001205AC"/>
    <w:rsid w:val="00123766"/>
    <w:rsid w:val="001243EF"/>
    <w:rsid w:val="001249A2"/>
    <w:rsid w:val="00126BDD"/>
    <w:rsid w:val="00132D3B"/>
    <w:rsid w:val="00133618"/>
    <w:rsid w:val="001345FD"/>
    <w:rsid w:val="00135DD8"/>
    <w:rsid w:val="00136554"/>
    <w:rsid w:val="001371FE"/>
    <w:rsid w:val="00142B50"/>
    <w:rsid w:val="00144585"/>
    <w:rsid w:val="001448A8"/>
    <w:rsid w:val="001501D2"/>
    <w:rsid w:val="001501E0"/>
    <w:rsid w:val="001503DA"/>
    <w:rsid w:val="001518EC"/>
    <w:rsid w:val="00152E24"/>
    <w:rsid w:val="00153194"/>
    <w:rsid w:val="00157313"/>
    <w:rsid w:val="00160F3E"/>
    <w:rsid w:val="00164414"/>
    <w:rsid w:val="0016479F"/>
    <w:rsid w:val="001655F8"/>
    <w:rsid w:val="00166F43"/>
    <w:rsid w:val="00171418"/>
    <w:rsid w:val="00171AD0"/>
    <w:rsid w:val="00173DE6"/>
    <w:rsid w:val="00176925"/>
    <w:rsid w:val="00177B01"/>
    <w:rsid w:val="00182125"/>
    <w:rsid w:val="00184798"/>
    <w:rsid w:val="00184A4A"/>
    <w:rsid w:val="00186166"/>
    <w:rsid w:val="00187F8F"/>
    <w:rsid w:val="00190928"/>
    <w:rsid w:val="00191A3A"/>
    <w:rsid w:val="00193A71"/>
    <w:rsid w:val="00194326"/>
    <w:rsid w:val="00196F9E"/>
    <w:rsid w:val="001A0C1B"/>
    <w:rsid w:val="001A1252"/>
    <w:rsid w:val="001A12AE"/>
    <w:rsid w:val="001A40CA"/>
    <w:rsid w:val="001A59E1"/>
    <w:rsid w:val="001A6EDD"/>
    <w:rsid w:val="001B00FB"/>
    <w:rsid w:val="001B0C2E"/>
    <w:rsid w:val="001B275E"/>
    <w:rsid w:val="001B3318"/>
    <w:rsid w:val="001B3692"/>
    <w:rsid w:val="001B5424"/>
    <w:rsid w:val="001C0F54"/>
    <w:rsid w:val="001C1467"/>
    <w:rsid w:val="001C1660"/>
    <w:rsid w:val="001C4269"/>
    <w:rsid w:val="001C52FA"/>
    <w:rsid w:val="001D1A3D"/>
    <w:rsid w:val="001D716C"/>
    <w:rsid w:val="001D71C1"/>
    <w:rsid w:val="001D7297"/>
    <w:rsid w:val="001E09D1"/>
    <w:rsid w:val="001E1F7E"/>
    <w:rsid w:val="001E2043"/>
    <w:rsid w:val="001E2C1C"/>
    <w:rsid w:val="001E3C28"/>
    <w:rsid w:val="001E5BF0"/>
    <w:rsid w:val="001E77A9"/>
    <w:rsid w:val="001F0766"/>
    <w:rsid w:val="001F11D0"/>
    <w:rsid w:val="001F11EA"/>
    <w:rsid w:val="001F1631"/>
    <w:rsid w:val="001F3DE1"/>
    <w:rsid w:val="001F617B"/>
    <w:rsid w:val="001F6271"/>
    <w:rsid w:val="001F68FF"/>
    <w:rsid w:val="001F79BF"/>
    <w:rsid w:val="002004E5"/>
    <w:rsid w:val="00200A42"/>
    <w:rsid w:val="00204660"/>
    <w:rsid w:val="00205229"/>
    <w:rsid w:val="002073DB"/>
    <w:rsid w:val="00211F56"/>
    <w:rsid w:val="00211F96"/>
    <w:rsid w:val="002139C7"/>
    <w:rsid w:val="002170F5"/>
    <w:rsid w:val="0022088D"/>
    <w:rsid w:val="00220C1D"/>
    <w:rsid w:val="00220D95"/>
    <w:rsid w:val="00221A9F"/>
    <w:rsid w:val="00222544"/>
    <w:rsid w:val="00224CC9"/>
    <w:rsid w:val="00224EAD"/>
    <w:rsid w:val="002256E4"/>
    <w:rsid w:val="00225F05"/>
    <w:rsid w:val="002301BC"/>
    <w:rsid w:val="002323D9"/>
    <w:rsid w:val="0023585C"/>
    <w:rsid w:val="00236758"/>
    <w:rsid w:val="002401A4"/>
    <w:rsid w:val="00240DFE"/>
    <w:rsid w:val="002418CF"/>
    <w:rsid w:val="00243A00"/>
    <w:rsid w:val="00243FDA"/>
    <w:rsid w:val="00244982"/>
    <w:rsid w:val="0024556D"/>
    <w:rsid w:val="00246F92"/>
    <w:rsid w:val="00251A5A"/>
    <w:rsid w:val="0025391E"/>
    <w:rsid w:val="00254D58"/>
    <w:rsid w:val="00255D14"/>
    <w:rsid w:val="00256359"/>
    <w:rsid w:val="00257F00"/>
    <w:rsid w:val="00263BD4"/>
    <w:rsid w:val="00263C42"/>
    <w:rsid w:val="002647E3"/>
    <w:rsid w:val="00265C9E"/>
    <w:rsid w:val="00266B42"/>
    <w:rsid w:val="002679FA"/>
    <w:rsid w:val="002726C3"/>
    <w:rsid w:val="00273FC5"/>
    <w:rsid w:val="00281547"/>
    <w:rsid w:val="002820A6"/>
    <w:rsid w:val="00282759"/>
    <w:rsid w:val="002936C4"/>
    <w:rsid w:val="00293BAF"/>
    <w:rsid w:val="002969CB"/>
    <w:rsid w:val="0029785D"/>
    <w:rsid w:val="002A2257"/>
    <w:rsid w:val="002A46C4"/>
    <w:rsid w:val="002A5AC3"/>
    <w:rsid w:val="002B0602"/>
    <w:rsid w:val="002B23F7"/>
    <w:rsid w:val="002B32EB"/>
    <w:rsid w:val="002B400B"/>
    <w:rsid w:val="002B688A"/>
    <w:rsid w:val="002B6AD0"/>
    <w:rsid w:val="002C301E"/>
    <w:rsid w:val="002C45A4"/>
    <w:rsid w:val="002C59EC"/>
    <w:rsid w:val="002C6DA0"/>
    <w:rsid w:val="002D01FA"/>
    <w:rsid w:val="002D25E6"/>
    <w:rsid w:val="002D6633"/>
    <w:rsid w:val="002E0850"/>
    <w:rsid w:val="002E16B9"/>
    <w:rsid w:val="002E1B43"/>
    <w:rsid w:val="002E2856"/>
    <w:rsid w:val="002E34B8"/>
    <w:rsid w:val="002E3B54"/>
    <w:rsid w:val="002E52F4"/>
    <w:rsid w:val="002E7F65"/>
    <w:rsid w:val="002F09CA"/>
    <w:rsid w:val="002F0A43"/>
    <w:rsid w:val="002F112C"/>
    <w:rsid w:val="002F4DB6"/>
    <w:rsid w:val="002F5863"/>
    <w:rsid w:val="002F720B"/>
    <w:rsid w:val="003033D7"/>
    <w:rsid w:val="00305130"/>
    <w:rsid w:val="003054FB"/>
    <w:rsid w:val="0030593C"/>
    <w:rsid w:val="003076FD"/>
    <w:rsid w:val="00307E65"/>
    <w:rsid w:val="0031160A"/>
    <w:rsid w:val="003128C5"/>
    <w:rsid w:val="00312A5C"/>
    <w:rsid w:val="00313C14"/>
    <w:rsid w:val="00315B17"/>
    <w:rsid w:val="003167A0"/>
    <w:rsid w:val="00316986"/>
    <w:rsid w:val="003203A9"/>
    <w:rsid w:val="003246C7"/>
    <w:rsid w:val="00324ED5"/>
    <w:rsid w:val="003261E1"/>
    <w:rsid w:val="003268A0"/>
    <w:rsid w:val="00327D71"/>
    <w:rsid w:val="00332CF9"/>
    <w:rsid w:val="0033330E"/>
    <w:rsid w:val="003379A6"/>
    <w:rsid w:val="00337D12"/>
    <w:rsid w:val="00337F58"/>
    <w:rsid w:val="00343B23"/>
    <w:rsid w:val="00344591"/>
    <w:rsid w:val="00344E47"/>
    <w:rsid w:val="0034748B"/>
    <w:rsid w:val="00347E76"/>
    <w:rsid w:val="003507F3"/>
    <w:rsid w:val="003571BA"/>
    <w:rsid w:val="00357F03"/>
    <w:rsid w:val="00361D49"/>
    <w:rsid w:val="00370D5D"/>
    <w:rsid w:val="003735D9"/>
    <w:rsid w:val="00373B26"/>
    <w:rsid w:val="003751A2"/>
    <w:rsid w:val="003813E1"/>
    <w:rsid w:val="00382FE7"/>
    <w:rsid w:val="003845EC"/>
    <w:rsid w:val="00393A18"/>
    <w:rsid w:val="00396342"/>
    <w:rsid w:val="0039748C"/>
    <w:rsid w:val="00397F38"/>
    <w:rsid w:val="003A2DB6"/>
    <w:rsid w:val="003A312D"/>
    <w:rsid w:val="003A6AC5"/>
    <w:rsid w:val="003A7068"/>
    <w:rsid w:val="003B0BBB"/>
    <w:rsid w:val="003B0DEC"/>
    <w:rsid w:val="003B1F08"/>
    <w:rsid w:val="003B3F8F"/>
    <w:rsid w:val="003B5323"/>
    <w:rsid w:val="003B7729"/>
    <w:rsid w:val="003B7E46"/>
    <w:rsid w:val="003C28CB"/>
    <w:rsid w:val="003C6D2A"/>
    <w:rsid w:val="003D0146"/>
    <w:rsid w:val="003D085F"/>
    <w:rsid w:val="003D246A"/>
    <w:rsid w:val="003D2AAE"/>
    <w:rsid w:val="003D3ED9"/>
    <w:rsid w:val="003D4E20"/>
    <w:rsid w:val="003D6138"/>
    <w:rsid w:val="003D7D26"/>
    <w:rsid w:val="003E0440"/>
    <w:rsid w:val="003E2FB9"/>
    <w:rsid w:val="003E35C9"/>
    <w:rsid w:val="003E426B"/>
    <w:rsid w:val="003E5401"/>
    <w:rsid w:val="003E57B5"/>
    <w:rsid w:val="003E5E83"/>
    <w:rsid w:val="003E6693"/>
    <w:rsid w:val="003E78C8"/>
    <w:rsid w:val="003F04F8"/>
    <w:rsid w:val="003F41F7"/>
    <w:rsid w:val="003F6202"/>
    <w:rsid w:val="00401593"/>
    <w:rsid w:val="004015BA"/>
    <w:rsid w:val="00401D62"/>
    <w:rsid w:val="004027B8"/>
    <w:rsid w:val="0041188A"/>
    <w:rsid w:val="00413295"/>
    <w:rsid w:val="004140CB"/>
    <w:rsid w:val="0041453D"/>
    <w:rsid w:val="00417CB1"/>
    <w:rsid w:val="00420B40"/>
    <w:rsid w:val="00422424"/>
    <w:rsid w:val="00423772"/>
    <w:rsid w:val="0042438D"/>
    <w:rsid w:val="00425C0E"/>
    <w:rsid w:val="00426A6C"/>
    <w:rsid w:val="00427A6B"/>
    <w:rsid w:val="0043208C"/>
    <w:rsid w:val="00433305"/>
    <w:rsid w:val="00433CFC"/>
    <w:rsid w:val="00435729"/>
    <w:rsid w:val="00435806"/>
    <w:rsid w:val="00437906"/>
    <w:rsid w:val="004402C4"/>
    <w:rsid w:val="00442DB6"/>
    <w:rsid w:val="00445E4D"/>
    <w:rsid w:val="00450A73"/>
    <w:rsid w:val="004523C2"/>
    <w:rsid w:val="0045352F"/>
    <w:rsid w:val="00453734"/>
    <w:rsid w:val="00453BBD"/>
    <w:rsid w:val="00454206"/>
    <w:rsid w:val="00454C4E"/>
    <w:rsid w:val="0045565B"/>
    <w:rsid w:val="0045612B"/>
    <w:rsid w:val="00457884"/>
    <w:rsid w:val="00460415"/>
    <w:rsid w:val="004633F8"/>
    <w:rsid w:val="00465851"/>
    <w:rsid w:val="004675B7"/>
    <w:rsid w:val="0047017D"/>
    <w:rsid w:val="00475246"/>
    <w:rsid w:val="00481755"/>
    <w:rsid w:val="00483A57"/>
    <w:rsid w:val="00483EA0"/>
    <w:rsid w:val="004841FA"/>
    <w:rsid w:val="00491B3F"/>
    <w:rsid w:val="00495FF0"/>
    <w:rsid w:val="0049680E"/>
    <w:rsid w:val="004A29C7"/>
    <w:rsid w:val="004A381D"/>
    <w:rsid w:val="004A7267"/>
    <w:rsid w:val="004A73C3"/>
    <w:rsid w:val="004B0F12"/>
    <w:rsid w:val="004B1A89"/>
    <w:rsid w:val="004B2DED"/>
    <w:rsid w:val="004B4AE8"/>
    <w:rsid w:val="004B6558"/>
    <w:rsid w:val="004C2EB4"/>
    <w:rsid w:val="004C4F0D"/>
    <w:rsid w:val="004C6845"/>
    <w:rsid w:val="004C773D"/>
    <w:rsid w:val="004D0FE1"/>
    <w:rsid w:val="004D3DD5"/>
    <w:rsid w:val="004D44AD"/>
    <w:rsid w:val="004D5436"/>
    <w:rsid w:val="004D6209"/>
    <w:rsid w:val="004D63F0"/>
    <w:rsid w:val="004E019A"/>
    <w:rsid w:val="004E2325"/>
    <w:rsid w:val="004E3630"/>
    <w:rsid w:val="004E3693"/>
    <w:rsid w:val="004E4C9B"/>
    <w:rsid w:val="004E58B8"/>
    <w:rsid w:val="004F0675"/>
    <w:rsid w:val="004F0A2D"/>
    <w:rsid w:val="004F16BB"/>
    <w:rsid w:val="004F29AC"/>
    <w:rsid w:val="004F2E22"/>
    <w:rsid w:val="004F383E"/>
    <w:rsid w:val="004F73A6"/>
    <w:rsid w:val="00501349"/>
    <w:rsid w:val="0050423D"/>
    <w:rsid w:val="005051EA"/>
    <w:rsid w:val="00506290"/>
    <w:rsid w:val="005067AC"/>
    <w:rsid w:val="005073CF"/>
    <w:rsid w:val="005101BF"/>
    <w:rsid w:val="005114F6"/>
    <w:rsid w:val="00513693"/>
    <w:rsid w:val="00520710"/>
    <w:rsid w:val="00521BCE"/>
    <w:rsid w:val="005220C6"/>
    <w:rsid w:val="005253CB"/>
    <w:rsid w:val="00527C06"/>
    <w:rsid w:val="005302E2"/>
    <w:rsid w:val="00532086"/>
    <w:rsid w:val="005322DE"/>
    <w:rsid w:val="005331FC"/>
    <w:rsid w:val="00533303"/>
    <w:rsid w:val="00534989"/>
    <w:rsid w:val="00534D6A"/>
    <w:rsid w:val="00536AC5"/>
    <w:rsid w:val="005371A3"/>
    <w:rsid w:val="005372FA"/>
    <w:rsid w:val="0054030F"/>
    <w:rsid w:val="005428D1"/>
    <w:rsid w:val="00542B50"/>
    <w:rsid w:val="005434BF"/>
    <w:rsid w:val="00543E00"/>
    <w:rsid w:val="00544874"/>
    <w:rsid w:val="005506EE"/>
    <w:rsid w:val="00551FB4"/>
    <w:rsid w:val="00556536"/>
    <w:rsid w:val="00556D58"/>
    <w:rsid w:val="00557FB3"/>
    <w:rsid w:val="00560637"/>
    <w:rsid w:val="00560E1C"/>
    <w:rsid w:val="005663ED"/>
    <w:rsid w:val="00566AA4"/>
    <w:rsid w:val="0057056D"/>
    <w:rsid w:val="0057083F"/>
    <w:rsid w:val="005729AE"/>
    <w:rsid w:val="00577BAA"/>
    <w:rsid w:val="005834EE"/>
    <w:rsid w:val="00583BCF"/>
    <w:rsid w:val="00584AC3"/>
    <w:rsid w:val="005916CC"/>
    <w:rsid w:val="00592D15"/>
    <w:rsid w:val="0059342C"/>
    <w:rsid w:val="00593AF3"/>
    <w:rsid w:val="005946E0"/>
    <w:rsid w:val="005949FA"/>
    <w:rsid w:val="00594D55"/>
    <w:rsid w:val="00594F44"/>
    <w:rsid w:val="00595919"/>
    <w:rsid w:val="00597985"/>
    <w:rsid w:val="00597FD4"/>
    <w:rsid w:val="005A3818"/>
    <w:rsid w:val="005A51DE"/>
    <w:rsid w:val="005A624E"/>
    <w:rsid w:val="005A7E7D"/>
    <w:rsid w:val="005B01EB"/>
    <w:rsid w:val="005B0507"/>
    <w:rsid w:val="005B0863"/>
    <w:rsid w:val="005B341E"/>
    <w:rsid w:val="005B3744"/>
    <w:rsid w:val="005B3901"/>
    <w:rsid w:val="005B675E"/>
    <w:rsid w:val="005B6835"/>
    <w:rsid w:val="005B6CA0"/>
    <w:rsid w:val="005B7AF1"/>
    <w:rsid w:val="005C069C"/>
    <w:rsid w:val="005C1D89"/>
    <w:rsid w:val="005C406C"/>
    <w:rsid w:val="005C4DDB"/>
    <w:rsid w:val="005C6B35"/>
    <w:rsid w:val="005D1F77"/>
    <w:rsid w:val="005D20D0"/>
    <w:rsid w:val="005D2592"/>
    <w:rsid w:val="005D715E"/>
    <w:rsid w:val="005D7312"/>
    <w:rsid w:val="005E178A"/>
    <w:rsid w:val="005E2ABD"/>
    <w:rsid w:val="005E3CBF"/>
    <w:rsid w:val="005E3EEB"/>
    <w:rsid w:val="005E4AED"/>
    <w:rsid w:val="005F058D"/>
    <w:rsid w:val="005F1AEA"/>
    <w:rsid w:val="005F3BE0"/>
    <w:rsid w:val="005F4626"/>
    <w:rsid w:val="005F47FA"/>
    <w:rsid w:val="005F5570"/>
    <w:rsid w:val="005F6DF6"/>
    <w:rsid w:val="005F768C"/>
    <w:rsid w:val="00600492"/>
    <w:rsid w:val="00600E07"/>
    <w:rsid w:val="00606002"/>
    <w:rsid w:val="006068EA"/>
    <w:rsid w:val="006072C9"/>
    <w:rsid w:val="00613EE3"/>
    <w:rsid w:val="00613EE5"/>
    <w:rsid w:val="006156E6"/>
    <w:rsid w:val="00615DD3"/>
    <w:rsid w:val="00617245"/>
    <w:rsid w:val="006211AD"/>
    <w:rsid w:val="00623371"/>
    <w:rsid w:val="006242C3"/>
    <w:rsid w:val="00627C85"/>
    <w:rsid w:val="00627F56"/>
    <w:rsid w:val="0063294A"/>
    <w:rsid w:val="00634042"/>
    <w:rsid w:val="00637A6E"/>
    <w:rsid w:val="00637B24"/>
    <w:rsid w:val="00637EE9"/>
    <w:rsid w:val="00641761"/>
    <w:rsid w:val="006428C0"/>
    <w:rsid w:val="00642967"/>
    <w:rsid w:val="00643A4D"/>
    <w:rsid w:val="006457DC"/>
    <w:rsid w:val="006464BA"/>
    <w:rsid w:val="00650DB8"/>
    <w:rsid w:val="00655029"/>
    <w:rsid w:val="006643D8"/>
    <w:rsid w:val="006645D1"/>
    <w:rsid w:val="00670EDD"/>
    <w:rsid w:val="00671046"/>
    <w:rsid w:val="00672DF7"/>
    <w:rsid w:val="00673549"/>
    <w:rsid w:val="0067670C"/>
    <w:rsid w:val="00681770"/>
    <w:rsid w:val="00683C37"/>
    <w:rsid w:val="00683D92"/>
    <w:rsid w:val="006925E1"/>
    <w:rsid w:val="00692AB9"/>
    <w:rsid w:val="006949F8"/>
    <w:rsid w:val="006A0436"/>
    <w:rsid w:val="006A3352"/>
    <w:rsid w:val="006A3939"/>
    <w:rsid w:val="006A583F"/>
    <w:rsid w:val="006A678F"/>
    <w:rsid w:val="006A760C"/>
    <w:rsid w:val="006B11B9"/>
    <w:rsid w:val="006B2CAC"/>
    <w:rsid w:val="006B51FE"/>
    <w:rsid w:val="006B55C1"/>
    <w:rsid w:val="006B7AAF"/>
    <w:rsid w:val="006B7C41"/>
    <w:rsid w:val="006C0E70"/>
    <w:rsid w:val="006C10BB"/>
    <w:rsid w:val="006C1704"/>
    <w:rsid w:val="006C1BA6"/>
    <w:rsid w:val="006C4BBD"/>
    <w:rsid w:val="006C6CFF"/>
    <w:rsid w:val="006C6FDA"/>
    <w:rsid w:val="006D0E0F"/>
    <w:rsid w:val="006D3BCC"/>
    <w:rsid w:val="006E23C8"/>
    <w:rsid w:val="006E3E71"/>
    <w:rsid w:val="006E4563"/>
    <w:rsid w:val="006E7B77"/>
    <w:rsid w:val="006F0367"/>
    <w:rsid w:val="006F1419"/>
    <w:rsid w:val="006F2894"/>
    <w:rsid w:val="006F3605"/>
    <w:rsid w:val="006F6F80"/>
    <w:rsid w:val="00700059"/>
    <w:rsid w:val="00700DC6"/>
    <w:rsid w:val="00700F49"/>
    <w:rsid w:val="0070100A"/>
    <w:rsid w:val="00701FBB"/>
    <w:rsid w:val="007035D6"/>
    <w:rsid w:val="00703758"/>
    <w:rsid w:val="00704DC1"/>
    <w:rsid w:val="007050BA"/>
    <w:rsid w:val="0070750C"/>
    <w:rsid w:val="007079C9"/>
    <w:rsid w:val="007123BC"/>
    <w:rsid w:val="007133BD"/>
    <w:rsid w:val="007153D2"/>
    <w:rsid w:val="007166E3"/>
    <w:rsid w:val="007167D1"/>
    <w:rsid w:val="00716F45"/>
    <w:rsid w:val="007211EB"/>
    <w:rsid w:val="00721627"/>
    <w:rsid w:val="00724A53"/>
    <w:rsid w:val="00725B5F"/>
    <w:rsid w:val="007307FE"/>
    <w:rsid w:val="007319A1"/>
    <w:rsid w:val="00733EB2"/>
    <w:rsid w:val="007350EA"/>
    <w:rsid w:val="00735181"/>
    <w:rsid w:val="00735AEE"/>
    <w:rsid w:val="00742034"/>
    <w:rsid w:val="0074234E"/>
    <w:rsid w:val="00742DF2"/>
    <w:rsid w:val="00743FEC"/>
    <w:rsid w:val="00744B12"/>
    <w:rsid w:val="00745F42"/>
    <w:rsid w:val="00751626"/>
    <w:rsid w:val="0075525D"/>
    <w:rsid w:val="00762215"/>
    <w:rsid w:val="00763767"/>
    <w:rsid w:val="00763EBC"/>
    <w:rsid w:val="00766822"/>
    <w:rsid w:val="00767F95"/>
    <w:rsid w:val="007704D3"/>
    <w:rsid w:val="0077155A"/>
    <w:rsid w:val="007722E4"/>
    <w:rsid w:val="00772E40"/>
    <w:rsid w:val="007750B1"/>
    <w:rsid w:val="00776C18"/>
    <w:rsid w:val="007800BF"/>
    <w:rsid w:val="007808DF"/>
    <w:rsid w:val="0078285B"/>
    <w:rsid w:val="00785D67"/>
    <w:rsid w:val="00787E87"/>
    <w:rsid w:val="00795D58"/>
    <w:rsid w:val="007979DC"/>
    <w:rsid w:val="007A27B6"/>
    <w:rsid w:val="007A41C3"/>
    <w:rsid w:val="007A4AFA"/>
    <w:rsid w:val="007A536A"/>
    <w:rsid w:val="007B10F6"/>
    <w:rsid w:val="007B76A0"/>
    <w:rsid w:val="007C0FAD"/>
    <w:rsid w:val="007C1705"/>
    <w:rsid w:val="007C353D"/>
    <w:rsid w:val="007C448C"/>
    <w:rsid w:val="007C72A6"/>
    <w:rsid w:val="007C7959"/>
    <w:rsid w:val="007D1C83"/>
    <w:rsid w:val="007D66D7"/>
    <w:rsid w:val="007D6B5F"/>
    <w:rsid w:val="007D6C6D"/>
    <w:rsid w:val="007E16DC"/>
    <w:rsid w:val="007E1F92"/>
    <w:rsid w:val="007E3DFE"/>
    <w:rsid w:val="007E51D9"/>
    <w:rsid w:val="007E57A5"/>
    <w:rsid w:val="007E6959"/>
    <w:rsid w:val="007E7FAD"/>
    <w:rsid w:val="007F37D3"/>
    <w:rsid w:val="007F5296"/>
    <w:rsid w:val="00803C1D"/>
    <w:rsid w:val="00803E86"/>
    <w:rsid w:val="00804A7A"/>
    <w:rsid w:val="00804B6E"/>
    <w:rsid w:val="0080582F"/>
    <w:rsid w:val="0081055B"/>
    <w:rsid w:val="00811A76"/>
    <w:rsid w:val="00813B31"/>
    <w:rsid w:val="00813B46"/>
    <w:rsid w:val="00814314"/>
    <w:rsid w:val="008145C6"/>
    <w:rsid w:val="00814DFD"/>
    <w:rsid w:val="00816B29"/>
    <w:rsid w:val="008170ED"/>
    <w:rsid w:val="00821472"/>
    <w:rsid w:val="00821AD5"/>
    <w:rsid w:val="008245E3"/>
    <w:rsid w:val="00824F1F"/>
    <w:rsid w:val="0082594F"/>
    <w:rsid w:val="00826492"/>
    <w:rsid w:val="008268DB"/>
    <w:rsid w:val="00826A75"/>
    <w:rsid w:val="0082736E"/>
    <w:rsid w:val="00830EF9"/>
    <w:rsid w:val="00832FD9"/>
    <w:rsid w:val="0083346F"/>
    <w:rsid w:val="008369BF"/>
    <w:rsid w:val="00837D1F"/>
    <w:rsid w:val="00840B56"/>
    <w:rsid w:val="00840C8C"/>
    <w:rsid w:val="0084267A"/>
    <w:rsid w:val="00842EDC"/>
    <w:rsid w:val="008431B9"/>
    <w:rsid w:val="00846EDD"/>
    <w:rsid w:val="00847EFB"/>
    <w:rsid w:val="00851AD9"/>
    <w:rsid w:val="00854DFB"/>
    <w:rsid w:val="008576A5"/>
    <w:rsid w:val="00866A2A"/>
    <w:rsid w:val="00871D36"/>
    <w:rsid w:val="00872901"/>
    <w:rsid w:val="008729C5"/>
    <w:rsid w:val="00873CE2"/>
    <w:rsid w:val="00873E32"/>
    <w:rsid w:val="0087426A"/>
    <w:rsid w:val="00874F02"/>
    <w:rsid w:val="00877A56"/>
    <w:rsid w:val="0088375D"/>
    <w:rsid w:val="008845C6"/>
    <w:rsid w:val="00884B2B"/>
    <w:rsid w:val="00885DE5"/>
    <w:rsid w:val="00891B89"/>
    <w:rsid w:val="0089386A"/>
    <w:rsid w:val="008A379B"/>
    <w:rsid w:val="008A3D07"/>
    <w:rsid w:val="008A4B06"/>
    <w:rsid w:val="008A58A4"/>
    <w:rsid w:val="008A7E4B"/>
    <w:rsid w:val="008B0F3F"/>
    <w:rsid w:val="008B1868"/>
    <w:rsid w:val="008B1D22"/>
    <w:rsid w:val="008B414A"/>
    <w:rsid w:val="008B4921"/>
    <w:rsid w:val="008B4AAD"/>
    <w:rsid w:val="008B7215"/>
    <w:rsid w:val="008C0431"/>
    <w:rsid w:val="008C28A9"/>
    <w:rsid w:val="008C301D"/>
    <w:rsid w:val="008C38C2"/>
    <w:rsid w:val="008C78DA"/>
    <w:rsid w:val="008D1BC2"/>
    <w:rsid w:val="008D61B5"/>
    <w:rsid w:val="008D694A"/>
    <w:rsid w:val="008D757E"/>
    <w:rsid w:val="008E054D"/>
    <w:rsid w:val="008E286E"/>
    <w:rsid w:val="008E39AA"/>
    <w:rsid w:val="008E56AE"/>
    <w:rsid w:val="008E6463"/>
    <w:rsid w:val="008E6CD5"/>
    <w:rsid w:val="008E76E2"/>
    <w:rsid w:val="008F07FB"/>
    <w:rsid w:val="008F0DE3"/>
    <w:rsid w:val="008F0E75"/>
    <w:rsid w:val="008F2D3A"/>
    <w:rsid w:val="008F310B"/>
    <w:rsid w:val="008F3255"/>
    <w:rsid w:val="008F3A6F"/>
    <w:rsid w:val="008F5BDB"/>
    <w:rsid w:val="008F61D8"/>
    <w:rsid w:val="008F6E0D"/>
    <w:rsid w:val="0090041E"/>
    <w:rsid w:val="009004E8"/>
    <w:rsid w:val="00900BD1"/>
    <w:rsid w:val="00902D95"/>
    <w:rsid w:val="009050F9"/>
    <w:rsid w:val="00906604"/>
    <w:rsid w:val="00907A55"/>
    <w:rsid w:val="00907D5E"/>
    <w:rsid w:val="00912486"/>
    <w:rsid w:val="00917985"/>
    <w:rsid w:val="00917C66"/>
    <w:rsid w:val="0092087F"/>
    <w:rsid w:val="009235EE"/>
    <w:rsid w:val="00925DAF"/>
    <w:rsid w:val="00926188"/>
    <w:rsid w:val="009304AD"/>
    <w:rsid w:val="00931E52"/>
    <w:rsid w:val="00932752"/>
    <w:rsid w:val="009361E2"/>
    <w:rsid w:val="00936D7D"/>
    <w:rsid w:val="009378CD"/>
    <w:rsid w:val="009428EB"/>
    <w:rsid w:val="0094557D"/>
    <w:rsid w:val="00945FE3"/>
    <w:rsid w:val="00946AAE"/>
    <w:rsid w:val="00946C17"/>
    <w:rsid w:val="009470DE"/>
    <w:rsid w:val="0095063F"/>
    <w:rsid w:val="00950931"/>
    <w:rsid w:val="009514BB"/>
    <w:rsid w:val="00951D48"/>
    <w:rsid w:val="009527EC"/>
    <w:rsid w:val="00953F1E"/>
    <w:rsid w:val="00955813"/>
    <w:rsid w:val="009616AF"/>
    <w:rsid w:val="00962EA0"/>
    <w:rsid w:val="00964034"/>
    <w:rsid w:val="009653D8"/>
    <w:rsid w:val="0096582C"/>
    <w:rsid w:val="00970917"/>
    <w:rsid w:val="0097296E"/>
    <w:rsid w:val="00973148"/>
    <w:rsid w:val="00973927"/>
    <w:rsid w:val="009819BA"/>
    <w:rsid w:val="00981B26"/>
    <w:rsid w:val="00983346"/>
    <w:rsid w:val="009857B1"/>
    <w:rsid w:val="0098777A"/>
    <w:rsid w:val="00991C42"/>
    <w:rsid w:val="00993E94"/>
    <w:rsid w:val="009A01C1"/>
    <w:rsid w:val="009A04EE"/>
    <w:rsid w:val="009A128F"/>
    <w:rsid w:val="009A433B"/>
    <w:rsid w:val="009A5211"/>
    <w:rsid w:val="009A634A"/>
    <w:rsid w:val="009A6D9C"/>
    <w:rsid w:val="009A6FDE"/>
    <w:rsid w:val="009A7EB0"/>
    <w:rsid w:val="009B0DE9"/>
    <w:rsid w:val="009B2D21"/>
    <w:rsid w:val="009B4B0B"/>
    <w:rsid w:val="009B59FF"/>
    <w:rsid w:val="009B73BB"/>
    <w:rsid w:val="009B7BB3"/>
    <w:rsid w:val="009C0F61"/>
    <w:rsid w:val="009C1852"/>
    <w:rsid w:val="009C2707"/>
    <w:rsid w:val="009C27F5"/>
    <w:rsid w:val="009C2D19"/>
    <w:rsid w:val="009D1F16"/>
    <w:rsid w:val="009D48A8"/>
    <w:rsid w:val="009D5885"/>
    <w:rsid w:val="009D5979"/>
    <w:rsid w:val="009D6A47"/>
    <w:rsid w:val="009E0477"/>
    <w:rsid w:val="009E2365"/>
    <w:rsid w:val="009E3DB5"/>
    <w:rsid w:val="009E413F"/>
    <w:rsid w:val="009E4146"/>
    <w:rsid w:val="009E4276"/>
    <w:rsid w:val="009E7807"/>
    <w:rsid w:val="009F0673"/>
    <w:rsid w:val="009F0D66"/>
    <w:rsid w:val="009F10A7"/>
    <w:rsid w:val="009F13CC"/>
    <w:rsid w:val="009F1419"/>
    <w:rsid w:val="009F27BE"/>
    <w:rsid w:val="009F2FC5"/>
    <w:rsid w:val="009F3A06"/>
    <w:rsid w:val="009F4FF0"/>
    <w:rsid w:val="00A0108A"/>
    <w:rsid w:val="00A01A9D"/>
    <w:rsid w:val="00A04643"/>
    <w:rsid w:val="00A0784B"/>
    <w:rsid w:val="00A11637"/>
    <w:rsid w:val="00A1195A"/>
    <w:rsid w:val="00A14B03"/>
    <w:rsid w:val="00A16904"/>
    <w:rsid w:val="00A16D86"/>
    <w:rsid w:val="00A22203"/>
    <w:rsid w:val="00A2438E"/>
    <w:rsid w:val="00A25654"/>
    <w:rsid w:val="00A27D89"/>
    <w:rsid w:val="00A33CAE"/>
    <w:rsid w:val="00A35346"/>
    <w:rsid w:val="00A36A35"/>
    <w:rsid w:val="00A36E51"/>
    <w:rsid w:val="00A37074"/>
    <w:rsid w:val="00A3760C"/>
    <w:rsid w:val="00A43A4F"/>
    <w:rsid w:val="00A4655F"/>
    <w:rsid w:val="00A47922"/>
    <w:rsid w:val="00A56BA1"/>
    <w:rsid w:val="00A61E51"/>
    <w:rsid w:val="00A6246D"/>
    <w:rsid w:val="00A6307A"/>
    <w:rsid w:val="00A63F2D"/>
    <w:rsid w:val="00A70F62"/>
    <w:rsid w:val="00A73B52"/>
    <w:rsid w:val="00A740D0"/>
    <w:rsid w:val="00A7441B"/>
    <w:rsid w:val="00A74908"/>
    <w:rsid w:val="00A76D34"/>
    <w:rsid w:val="00A81C8E"/>
    <w:rsid w:val="00A8200F"/>
    <w:rsid w:val="00A82C40"/>
    <w:rsid w:val="00A82E34"/>
    <w:rsid w:val="00A82E40"/>
    <w:rsid w:val="00A85F2B"/>
    <w:rsid w:val="00A8661A"/>
    <w:rsid w:val="00A900BE"/>
    <w:rsid w:val="00A90EE2"/>
    <w:rsid w:val="00A911BF"/>
    <w:rsid w:val="00A94B88"/>
    <w:rsid w:val="00A95119"/>
    <w:rsid w:val="00A95832"/>
    <w:rsid w:val="00AA010C"/>
    <w:rsid w:val="00AA2526"/>
    <w:rsid w:val="00AA49EA"/>
    <w:rsid w:val="00AA71A8"/>
    <w:rsid w:val="00AA7D68"/>
    <w:rsid w:val="00AB00B6"/>
    <w:rsid w:val="00AB087A"/>
    <w:rsid w:val="00AB2DF7"/>
    <w:rsid w:val="00AB3937"/>
    <w:rsid w:val="00AB6075"/>
    <w:rsid w:val="00AC0085"/>
    <w:rsid w:val="00AC5927"/>
    <w:rsid w:val="00AC5CC2"/>
    <w:rsid w:val="00AD0C20"/>
    <w:rsid w:val="00AD20B2"/>
    <w:rsid w:val="00AD4DA4"/>
    <w:rsid w:val="00AD5E92"/>
    <w:rsid w:val="00AD7203"/>
    <w:rsid w:val="00AE2242"/>
    <w:rsid w:val="00AE2A90"/>
    <w:rsid w:val="00AE6070"/>
    <w:rsid w:val="00AE6470"/>
    <w:rsid w:val="00AE78E5"/>
    <w:rsid w:val="00AF0C39"/>
    <w:rsid w:val="00AF304E"/>
    <w:rsid w:val="00AF4E46"/>
    <w:rsid w:val="00AF4EE5"/>
    <w:rsid w:val="00AF6937"/>
    <w:rsid w:val="00B00975"/>
    <w:rsid w:val="00B00C2F"/>
    <w:rsid w:val="00B010DD"/>
    <w:rsid w:val="00B02230"/>
    <w:rsid w:val="00B05329"/>
    <w:rsid w:val="00B1147E"/>
    <w:rsid w:val="00B11638"/>
    <w:rsid w:val="00B1394E"/>
    <w:rsid w:val="00B13A88"/>
    <w:rsid w:val="00B17909"/>
    <w:rsid w:val="00B21869"/>
    <w:rsid w:val="00B243C2"/>
    <w:rsid w:val="00B2602B"/>
    <w:rsid w:val="00B26A41"/>
    <w:rsid w:val="00B27F0C"/>
    <w:rsid w:val="00B32642"/>
    <w:rsid w:val="00B32FB9"/>
    <w:rsid w:val="00B34308"/>
    <w:rsid w:val="00B34F41"/>
    <w:rsid w:val="00B404C0"/>
    <w:rsid w:val="00B4224F"/>
    <w:rsid w:val="00B436EF"/>
    <w:rsid w:val="00B454AB"/>
    <w:rsid w:val="00B4570B"/>
    <w:rsid w:val="00B50817"/>
    <w:rsid w:val="00B53313"/>
    <w:rsid w:val="00B56A43"/>
    <w:rsid w:val="00B56B7E"/>
    <w:rsid w:val="00B57434"/>
    <w:rsid w:val="00B61D4D"/>
    <w:rsid w:val="00B62B88"/>
    <w:rsid w:val="00B70925"/>
    <w:rsid w:val="00B70967"/>
    <w:rsid w:val="00B7618C"/>
    <w:rsid w:val="00B76813"/>
    <w:rsid w:val="00B77854"/>
    <w:rsid w:val="00B801EC"/>
    <w:rsid w:val="00B815BE"/>
    <w:rsid w:val="00B818B9"/>
    <w:rsid w:val="00B85A44"/>
    <w:rsid w:val="00B85F0D"/>
    <w:rsid w:val="00B9037B"/>
    <w:rsid w:val="00B907F9"/>
    <w:rsid w:val="00B9220F"/>
    <w:rsid w:val="00B95992"/>
    <w:rsid w:val="00B978D2"/>
    <w:rsid w:val="00B97BBC"/>
    <w:rsid w:val="00BA049E"/>
    <w:rsid w:val="00BA07F2"/>
    <w:rsid w:val="00BA0CE9"/>
    <w:rsid w:val="00BA0EA1"/>
    <w:rsid w:val="00BB0017"/>
    <w:rsid w:val="00BB2520"/>
    <w:rsid w:val="00BB4427"/>
    <w:rsid w:val="00BB55DD"/>
    <w:rsid w:val="00BC0D50"/>
    <w:rsid w:val="00BC565D"/>
    <w:rsid w:val="00BD01DB"/>
    <w:rsid w:val="00BD1570"/>
    <w:rsid w:val="00BD52C2"/>
    <w:rsid w:val="00BD7CB1"/>
    <w:rsid w:val="00BD7DE0"/>
    <w:rsid w:val="00BE4659"/>
    <w:rsid w:val="00BE6525"/>
    <w:rsid w:val="00BF0D03"/>
    <w:rsid w:val="00BF3A2E"/>
    <w:rsid w:val="00C02740"/>
    <w:rsid w:val="00C036B1"/>
    <w:rsid w:val="00C04095"/>
    <w:rsid w:val="00C0435B"/>
    <w:rsid w:val="00C06BDF"/>
    <w:rsid w:val="00C10D9C"/>
    <w:rsid w:val="00C11C28"/>
    <w:rsid w:val="00C12FB8"/>
    <w:rsid w:val="00C14A6E"/>
    <w:rsid w:val="00C16173"/>
    <w:rsid w:val="00C16603"/>
    <w:rsid w:val="00C209CB"/>
    <w:rsid w:val="00C21705"/>
    <w:rsid w:val="00C2191C"/>
    <w:rsid w:val="00C22DAC"/>
    <w:rsid w:val="00C2484A"/>
    <w:rsid w:val="00C24B19"/>
    <w:rsid w:val="00C274FE"/>
    <w:rsid w:val="00C33322"/>
    <w:rsid w:val="00C33BA3"/>
    <w:rsid w:val="00C3546E"/>
    <w:rsid w:val="00C35CC4"/>
    <w:rsid w:val="00C3748A"/>
    <w:rsid w:val="00C43F98"/>
    <w:rsid w:val="00C4427C"/>
    <w:rsid w:val="00C46A0A"/>
    <w:rsid w:val="00C517A6"/>
    <w:rsid w:val="00C5312E"/>
    <w:rsid w:val="00C5330C"/>
    <w:rsid w:val="00C540A6"/>
    <w:rsid w:val="00C56F7C"/>
    <w:rsid w:val="00C63272"/>
    <w:rsid w:val="00C641D3"/>
    <w:rsid w:val="00C65EA4"/>
    <w:rsid w:val="00C67732"/>
    <w:rsid w:val="00C72620"/>
    <w:rsid w:val="00C75882"/>
    <w:rsid w:val="00C7673B"/>
    <w:rsid w:val="00C773C5"/>
    <w:rsid w:val="00C81965"/>
    <w:rsid w:val="00C82E3A"/>
    <w:rsid w:val="00C851F2"/>
    <w:rsid w:val="00C86904"/>
    <w:rsid w:val="00C869A9"/>
    <w:rsid w:val="00C86B00"/>
    <w:rsid w:val="00C93A3E"/>
    <w:rsid w:val="00C93BA5"/>
    <w:rsid w:val="00C94A8A"/>
    <w:rsid w:val="00CA24EB"/>
    <w:rsid w:val="00CA66F9"/>
    <w:rsid w:val="00CB0B35"/>
    <w:rsid w:val="00CB2B27"/>
    <w:rsid w:val="00CB56FF"/>
    <w:rsid w:val="00CB5CF7"/>
    <w:rsid w:val="00CB6A4F"/>
    <w:rsid w:val="00CC0C19"/>
    <w:rsid w:val="00CC2AC0"/>
    <w:rsid w:val="00CC2EDE"/>
    <w:rsid w:val="00CC3301"/>
    <w:rsid w:val="00CC40CC"/>
    <w:rsid w:val="00CC6D44"/>
    <w:rsid w:val="00CC7161"/>
    <w:rsid w:val="00CC7827"/>
    <w:rsid w:val="00CC7FBC"/>
    <w:rsid w:val="00CD086E"/>
    <w:rsid w:val="00CD1CC9"/>
    <w:rsid w:val="00CD4E5D"/>
    <w:rsid w:val="00CE0CF4"/>
    <w:rsid w:val="00CE10A8"/>
    <w:rsid w:val="00CE2832"/>
    <w:rsid w:val="00CE2CF2"/>
    <w:rsid w:val="00CE5A74"/>
    <w:rsid w:val="00CE6A43"/>
    <w:rsid w:val="00CE6F07"/>
    <w:rsid w:val="00CE7736"/>
    <w:rsid w:val="00CE7CA3"/>
    <w:rsid w:val="00CF1BE7"/>
    <w:rsid w:val="00CF1DBA"/>
    <w:rsid w:val="00CF33B7"/>
    <w:rsid w:val="00CF4483"/>
    <w:rsid w:val="00CF78AC"/>
    <w:rsid w:val="00D025C3"/>
    <w:rsid w:val="00D03BD8"/>
    <w:rsid w:val="00D05760"/>
    <w:rsid w:val="00D06FF9"/>
    <w:rsid w:val="00D10DE2"/>
    <w:rsid w:val="00D11C3B"/>
    <w:rsid w:val="00D138EB"/>
    <w:rsid w:val="00D13A0F"/>
    <w:rsid w:val="00D167DE"/>
    <w:rsid w:val="00D23190"/>
    <w:rsid w:val="00D2639D"/>
    <w:rsid w:val="00D26A65"/>
    <w:rsid w:val="00D33921"/>
    <w:rsid w:val="00D354E3"/>
    <w:rsid w:val="00D36F5D"/>
    <w:rsid w:val="00D3731D"/>
    <w:rsid w:val="00D37602"/>
    <w:rsid w:val="00D37C47"/>
    <w:rsid w:val="00D417E9"/>
    <w:rsid w:val="00D42D8D"/>
    <w:rsid w:val="00D4334D"/>
    <w:rsid w:val="00D43551"/>
    <w:rsid w:val="00D44159"/>
    <w:rsid w:val="00D445DC"/>
    <w:rsid w:val="00D44648"/>
    <w:rsid w:val="00D458C9"/>
    <w:rsid w:val="00D46126"/>
    <w:rsid w:val="00D462FE"/>
    <w:rsid w:val="00D46D2D"/>
    <w:rsid w:val="00D4751A"/>
    <w:rsid w:val="00D47A3E"/>
    <w:rsid w:val="00D5172E"/>
    <w:rsid w:val="00D53C6C"/>
    <w:rsid w:val="00D54284"/>
    <w:rsid w:val="00D54C1F"/>
    <w:rsid w:val="00D55318"/>
    <w:rsid w:val="00D575AF"/>
    <w:rsid w:val="00D57645"/>
    <w:rsid w:val="00D60AA1"/>
    <w:rsid w:val="00D6269B"/>
    <w:rsid w:val="00D72695"/>
    <w:rsid w:val="00D72DEA"/>
    <w:rsid w:val="00D7497F"/>
    <w:rsid w:val="00D75B61"/>
    <w:rsid w:val="00D76D61"/>
    <w:rsid w:val="00D77D70"/>
    <w:rsid w:val="00D81912"/>
    <w:rsid w:val="00D84AA2"/>
    <w:rsid w:val="00D85562"/>
    <w:rsid w:val="00D87DA6"/>
    <w:rsid w:val="00D908D5"/>
    <w:rsid w:val="00D90A8F"/>
    <w:rsid w:val="00D92545"/>
    <w:rsid w:val="00D92901"/>
    <w:rsid w:val="00D954F1"/>
    <w:rsid w:val="00D97280"/>
    <w:rsid w:val="00D976C2"/>
    <w:rsid w:val="00DA4DE5"/>
    <w:rsid w:val="00DA4F02"/>
    <w:rsid w:val="00DA5671"/>
    <w:rsid w:val="00DA6C66"/>
    <w:rsid w:val="00DB065B"/>
    <w:rsid w:val="00DB1602"/>
    <w:rsid w:val="00DB17BA"/>
    <w:rsid w:val="00DB1F57"/>
    <w:rsid w:val="00DB20C6"/>
    <w:rsid w:val="00DB2237"/>
    <w:rsid w:val="00DB3EEF"/>
    <w:rsid w:val="00DB408E"/>
    <w:rsid w:val="00DC0BC0"/>
    <w:rsid w:val="00DC109E"/>
    <w:rsid w:val="00DC3474"/>
    <w:rsid w:val="00DC7432"/>
    <w:rsid w:val="00DC788F"/>
    <w:rsid w:val="00DD0DBD"/>
    <w:rsid w:val="00DD725A"/>
    <w:rsid w:val="00DE1F4E"/>
    <w:rsid w:val="00DE2096"/>
    <w:rsid w:val="00DE4D78"/>
    <w:rsid w:val="00DE56B7"/>
    <w:rsid w:val="00DE5B29"/>
    <w:rsid w:val="00DE5E34"/>
    <w:rsid w:val="00DE675B"/>
    <w:rsid w:val="00DE7ED4"/>
    <w:rsid w:val="00DF0CFB"/>
    <w:rsid w:val="00DF37B4"/>
    <w:rsid w:val="00DF4EAE"/>
    <w:rsid w:val="00DF591F"/>
    <w:rsid w:val="00DF79DE"/>
    <w:rsid w:val="00E01D3E"/>
    <w:rsid w:val="00E01E3D"/>
    <w:rsid w:val="00E03305"/>
    <w:rsid w:val="00E05C3F"/>
    <w:rsid w:val="00E07232"/>
    <w:rsid w:val="00E07F61"/>
    <w:rsid w:val="00E10499"/>
    <w:rsid w:val="00E13636"/>
    <w:rsid w:val="00E15EBD"/>
    <w:rsid w:val="00E17CC6"/>
    <w:rsid w:val="00E204EB"/>
    <w:rsid w:val="00E21551"/>
    <w:rsid w:val="00E215B5"/>
    <w:rsid w:val="00E26977"/>
    <w:rsid w:val="00E26AF9"/>
    <w:rsid w:val="00E27566"/>
    <w:rsid w:val="00E27641"/>
    <w:rsid w:val="00E331EA"/>
    <w:rsid w:val="00E339A0"/>
    <w:rsid w:val="00E34296"/>
    <w:rsid w:val="00E3493F"/>
    <w:rsid w:val="00E37815"/>
    <w:rsid w:val="00E406DC"/>
    <w:rsid w:val="00E43993"/>
    <w:rsid w:val="00E44929"/>
    <w:rsid w:val="00E44966"/>
    <w:rsid w:val="00E46231"/>
    <w:rsid w:val="00E46A22"/>
    <w:rsid w:val="00E53AE4"/>
    <w:rsid w:val="00E55529"/>
    <w:rsid w:val="00E57F90"/>
    <w:rsid w:val="00E61C28"/>
    <w:rsid w:val="00E62F3A"/>
    <w:rsid w:val="00E63EB4"/>
    <w:rsid w:val="00E64B86"/>
    <w:rsid w:val="00E650AA"/>
    <w:rsid w:val="00E65624"/>
    <w:rsid w:val="00E7158D"/>
    <w:rsid w:val="00E814FA"/>
    <w:rsid w:val="00E8426A"/>
    <w:rsid w:val="00E84F60"/>
    <w:rsid w:val="00E85B64"/>
    <w:rsid w:val="00E86719"/>
    <w:rsid w:val="00E9108D"/>
    <w:rsid w:val="00E921CC"/>
    <w:rsid w:val="00E9299D"/>
    <w:rsid w:val="00E94269"/>
    <w:rsid w:val="00E943C0"/>
    <w:rsid w:val="00E95C3D"/>
    <w:rsid w:val="00E96A4F"/>
    <w:rsid w:val="00E97862"/>
    <w:rsid w:val="00EA0F34"/>
    <w:rsid w:val="00EA4C3C"/>
    <w:rsid w:val="00EA5675"/>
    <w:rsid w:val="00EA5CF3"/>
    <w:rsid w:val="00EB067A"/>
    <w:rsid w:val="00EB068A"/>
    <w:rsid w:val="00EB0D6C"/>
    <w:rsid w:val="00EB2B51"/>
    <w:rsid w:val="00EB35C8"/>
    <w:rsid w:val="00EC1448"/>
    <w:rsid w:val="00EC1635"/>
    <w:rsid w:val="00EC191A"/>
    <w:rsid w:val="00EC1A10"/>
    <w:rsid w:val="00EC27C9"/>
    <w:rsid w:val="00EC54D7"/>
    <w:rsid w:val="00EC5D20"/>
    <w:rsid w:val="00EC7CBF"/>
    <w:rsid w:val="00ED11C2"/>
    <w:rsid w:val="00ED38CB"/>
    <w:rsid w:val="00ED3AB0"/>
    <w:rsid w:val="00ED6524"/>
    <w:rsid w:val="00ED7180"/>
    <w:rsid w:val="00EE03DE"/>
    <w:rsid w:val="00EE0E4D"/>
    <w:rsid w:val="00EE1B94"/>
    <w:rsid w:val="00EE1D3E"/>
    <w:rsid w:val="00EE3A13"/>
    <w:rsid w:val="00EE78D8"/>
    <w:rsid w:val="00EF0A9C"/>
    <w:rsid w:val="00EF130E"/>
    <w:rsid w:val="00EF3824"/>
    <w:rsid w:val="00EF4C18"/>
    <w:rsid w:val="00EF4F25"/>
    <w:rsid w:val="00EF7CC2"/>
    <w:rsid w:val="00F04C7F"/>
    <w:rsid w:val="00F05749"/>
    <w:rsid w:val="00F07139"/>
    <w:rsid w:val="00F1079B"/>
    <w:rsid w:val="00F12A69"/>
    <w:rsid w:val="00F1316F"/>
    <w:rsid w:val="00F1427D"/>
    <w:rsid w:val="00F173A6"/>
    <w:rsid w:val="00F20A90"/>
    <w:rsid w:val="00F21034"/>
    <w:rsid w:val="00F21735"/>
    <w:rsid w:val="00F224AA"/>
    <w:rsid w:val="00F242D8"/>
    <w:rsid w:val="00F31050"/>
    <w:rsid w:val="00F3143B"/>
    <w:rsid w:val="00F33EDB"/>
    <w:rsid w:val="00F3565C"/>
    <w:rsid w:val="00F37738"/>
    <w:rsid w:val="00F40B3F"/>
    <w:rsid w:val="00F43189"/>
    <w:rsid w:val="00F43242"/>
    <w:rsid w:val="00F4388D"/>
    <w:rsid w:val="00F4505C"/>
    <w:rsid w:val="00F45731"/>
    <w:rsid w:val="00F46450"/>
    <w:rsid w:val="00F46DE3"/>
    <w:rsid w:val="00F47F1B"/>
    <w:rsid w:val="00F509A2"/>
    <w:rsid w:val="00F509DA"/>
    <w:rsid w:val="00F53EBE"/>
    <w:rsid w:val="00F54907"/>
    <w:rsid w:val="00F54A08"/>
    <w:rsid w:val="00F55A1C"/>
    <w:rsid w:val="00F614A9"/>
    <w:rsid w:val="00F6239D"/>
    <w:rsid w:val="00F62A3C"/>
    <w:rsid w:val="00F6482B"/>
    <w:rsid w:val="00F67223"/>
    <w:rsid w:val="00F67E16"/>
    <w:rsid w:val="00F67F51"/>
    <w:rsid w:val="00F72107"/>
    <w:rsid w:val="00F76739"/>
    <w:rsid w:val="00F76ACF"/>
    <w:rsid w:val="00F77FC0"/>
    <w:rsid w:val="00F80C2D"/>
    <w:rsid w:val="00F8223F"/>
    <w:rsid w:val="00F863DD"/>
    <w:rsid w:val="00F8640C"/>
    <w:rsid w:val="00F869C2"/>
    <w:rsid w:val="00F87E31"/>
    <w:rsid w:val="00F910A4"/>
    <w:rsid w:val="00F94B5B"/>
    <w:rsid w:val="00F95434"/>
    <w:rsid w:val="00F97464"/>
    <w:rsid w:val="00F97C49"/>
    <w:rsid w:val="00FA13D5"/>
    <w:rsid w:val="00FA2935"/>
    <w:rsid w:val="00FA3B12"/>
    <w:rsid w:val="00FA41CD"/>
    <w:rsid w:val="00FA4474"/>
    <w:rsid w:val="00FA4B40"/>
    <w:rsid w:val="00FA7073"/>
    <w:rsid w:val="00FA7605"/>
    <w:rsid w:val="00FB0A53"/>
    <w:rsid w:val="00FB1FE9"/>
    <w:rsid w:val="00FB25B5"/>
    <w:rsid w:val="00FB350C"/>
    <w:rsid w:val="00FB4E76"/>
    <w:rsid w:val="00FB5EDD"/>
    <w:rsid w:val="00FB6F6D"/>
    <w:rsid w:val="00FB7021"/>
    <w:rsid w:val="00FC1CAD"/>
    <w:rsid w:val="00FC2EB5"/>
    <w:rsid w:val="00FC609D"/>
    <w:rsid w:val="00FC6B19"/>
    <w:rsid w:val="00FD2A8F"/>
    <w:rsid w:val="00FD2C36"/>
    <w:rsid w:val="00FD500A"/>
    <w:rsid w:val="00FD51C4"/>
    <w:rsid w:val="00FD578F"/>
    <w:rsid w:val="00FE0C0D"/>
    <w:rsid w:val="00FE10C2"/>
    <w:rsid w:val="00FE35C2"/>
    <w:rsid w:val="00FE5E34"/>
    <w:rsid w:val="00FE69C1"/>
    <w:rsid w:val="00FE6AE2"/>
    <w:rsid w:val="00FF21C8"/>
    <w:rsid w:val="00FF37E9"/>
    <w:rsid w:val="00FF553E"/>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4ED1602"/>
  <w15:docId w15:val="{C7539CBE-3501-43C6-B605-DCA619D25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Helvetica" w:eastAsia="MS PGothic" w:hAnsi="Helvetica" w:cs="Helvetica"/>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DF Body text"/>
    <w:qFormat/>
    <w:rsid w:val="00AF4E46"/>
    <w:pPr>
      <w:keepLines/>
      <w:suppressAutoHyphens/>
      <w:spacing w:after="280" w:line="360" w:lineRule="auto"/>
    </w:pPr>
    <w:rPr>
      <w:rFonts w:ascii="Arial" w:eastAsia="Helvetica" w:hAnsi="Arial"/>
      <w:color w:val="4D4F53"/>
      <w:sz w:val="24"/>
      <w:szCs w:val="22"/>
      <w:u w:color="000000"/>
      <w:bdr w:val="nil"/>
    </w:rPr>
  </w:style>
  <w:style w:type="paragraph" w:styleId="Heading1">
    <w:name w:val="heading 1"/>
    <w:aliases w:val="BDF h1"/>
    <w:basedOn w:val="Normal"/>
    <w:next w:val="Normal"/>
    <w:link w:val="Heading1Char"/>
    <w:uiPriority w:val="9"/>
    <w:qFormat/>
    <w:rsid w:val="00AF4E46"/>
    <w:pPr>
      <w:keepNext/>
      <w:spacing w:before="240" w:after="120" w:line="240" w:lineRule="auto"/>
      <w:outlineLvl w:val="0"/>
    </w:pPr>
    <w:rPr>
      <w:rFonts w:ascii="Century Gothic" w:eastAsia="MS PGothic" w:hAnsi="Century Gothic" w:cs="Times New Roman"/>
      <w:b/>
      <w:bCs/>
      <w:color w:val="007AC9"/>
      <w:sz w:val="36"/>
      <w:szCs w:val="32"/>
    </w:rPr>
  </w:style>
  <w:style w:type="paragraph" w:styleId="Heading2">
    <w:name w:val="heading 2"/>
    <w:aliases w:val="BDF H2"/>
    <w:basedOn w:val="BDFCoverSubtitle"/>
    <w:next w:val="Normal"/>
    <w:link w:val="Heading2Char"/>
    <w:uiPriority w:val="9"/>
    <w:unhideWhenUsed/>
    <w:qFormat/>
    <w:rsid w:val="00AF4E46"/>
    <w:pPr>
      <w:spacing w:after="120" w:line="240" w:lineRule="auto"/>
      <w:outlineLvl w:val="1"/>
    </w:pPr>
    <w:rPr>
      <w:rFonts w:ascii="Century Gothic" w:hAnsi="Century Gothic"/>
      <w:color w:val="4D4F53" w:themeColor="accent1"/>
    </w:rPr>
  </w:style>
  <w:style w:type="paragraph" w:styleId="Heading3">
    <w:name w:val="heading 3"/>
    <w:aliases w:val="BDF H3"/>
    <w:basedOn w:val="Normal"/>
    <w:next w:val="Normal"/>
    <w:link w:val="Heading3Char"/>
    <w:uiPriority w:val="9"/>
    <w:unhideWhenUsed/>
    <w:qFormat/>
    <w:rsid w:val="00AF4E46"/>
    <w:pPr>
      <w:spacing w:before="240" w:after="120" w:line="240" w:lineRule="auto"/>
      <w:outlineLvl w:val="2"/>
    </w:pPr>
    <w:rPr>
      <w:rFonts w:ascii="Century Gothic" w:hAnsi="Century Gothic"/>
      <w:b/>
      <w:bCs/>
      <w:szCs w:val="26"/>
    </w:rPr>
  </w:style>
  <w:style w:type="paragraph" w:styleId="Heading4">
    <w:name w:val="heading 4"/>
    <w:aliases w:val="BDF h4"/>
    <w:basedOn w:val="Normal"/>
    <w:next w:val="Normal"/>
    <w:link w:val="Heading4Char"/>
    <w:uiPriority w:val="9"/>
    <w:unhideWhenUsed/>
    <w:rsid w:val="00C3748A"/>
    <w:pPr>
      <w:keepNext/>
      <w:spacing w:before="200" w:after="0"/>
      <w:outlineLvl w:val="3"/>
    </w:pPr>
    <w:rPr>
      <w:rFonts w:eastAsia="MS PGothic" w:cs="Times New Roman"/>
      <w:b/>
      <w:bCs/>
      <w:color w:val="007AC9" w:themeColor="text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DFCoverSubtitle">
    <w:name w:val="BDF Cover Subtitle"/>
    <w:basedOn w:val="Normal"/>
    <w:qFormat/>
    <w:rsid w:val="009D5979"/>
    <w:pPr>
      <w:spacing w:before="240" w:after="240"/>
    </w:pPr>
    <w:rPr>
      <w:b/>
      <w:bCs/>
      <w:noProof/>
      <w:color w:val="007AC9" w:themeColor="text2"/>
      <w:sz w:val="28"/>
      <w:szCs w:val="28"/>
      <w:lang w:val="en-US"/>
    </w:rPr>
  </w:style>
  <w:style w:type="character" w:customStyle="1" w:styleId="Heading1Char">
    <w:name w:val="Heading 1 Char"/>
    <w:aliases w:val="BDF h1 Char"/>
    <w:link w:val="Heading1"/>
    <w:uiPriority w:val="9"/>
    <w:rsid w:val="00AF4E46"/>
    <w:rPr>
      <w:rFonts w:ascii="Century Gothic" w:hAnsi="Century Gothic" w:cs="Times New Roman"/>
      <w:b/>
      <w:bCs/>
      <w:color w:val="007AC9"/>
      <w:sz w:val="36"/>
      <w:szCs w:val="32"/>
      <w:u w:color="000000"/>
      <w:bdr w:val="nil"/>
    </w:rPr>
  </w:style>
  <w:style w:type="character" w:customStyle="1" w:styleId="Heading2Char">
    <w:name w:val="Heading 2 Char"/>
    <w:aliases w:val="BDF H2 Char"/>
    <w:link w:val="Heading2"/>
    <w:uiPriority w:val="9"/>
    <w:rsid w:val="00AF4E46"/>
    <w:rPr>
      <w:rFonts w:ascii="Century Gothic" w:eastAsia="Helvetica" w:hAnsi="Century Gothic"/>
      <w:b/>
      <w:bCs/>
      <w:noProof/>
      <w:color w:val="4D4F53" w:themeColor="accent1"/>
      <w:sz w:val="28"/>
      <w:szCs w:val="28"/>
      <w:u w:color="000000"/>
      <w:bdr w:val="nil"/>
      <w:lang w:val="en-US"/>
    </w:rPr>
  </w:style>
  <w:style w:type="paragraph" w:styleId="Header">
    <w:name w:val="header"/>
    <w:basedOn w:val="Normal"/>
    <w:link w:val="HeaderChar"/>
    <w:uiPriority w:val="99"/>
    <w:unhideWhenUsed/>
    <w:rsid w:val="00A1195A"/>
    <w:pPr>
      <w:tabs>
        <w:tab w:val="center" w:pos="4513"/>
        <w:tab w:val="right" w:pos="9026"/>
      </w:tabs>
      <w:spacing w:after="0"/>
    </w:pPr>
  </w:style>
  <w:style w:type="character" w:customStyle="1" w:styleId="HeaderChar">
    <w:name w:val="Header Char"/>
    <w:link w:val="Header"/>
    <w:uiPriority w:val="99"/>
    <w:rsid w:val="00A1195A"/>
    <w:rPr>
      <w:rFonts w:ascii="Arial" w:eastAsia="Helvetica" w:hAnsi="Arial"/>
      <w:color w:val="777A80"/>
      <w:szCs w:val="22"/>
      <w:bdr w:val="nil"/>
      <w:lang w:val="en-GB"/>
    </w:rPr>
  </w:style>
  <w:style w:type="paragraph" w:styleId="Footer">
    <w:name w:val="footer"/>
    <w:basedOn w:val="Normal"/>
    <w:link w:val="FooterChar"/>
    <w:uiPriority w:val="99"/>
    <w:unhideWhenUsed/>
    <w:rsid w:val="00102949"/>
    <w:pPr>
      <w:tabs>
        <w:tab w:val="center" w:pos="4320"/>
        <w:tab w:val="right" w:pos="8640"/>
      </w:tabs>
    </w:pPr>
  </w:style>
  <w:style w:type="character" w:customStyle="1" w:styleId="FooterChar">
    <w:name w:val="Footer Char"/>
    <w:basedOn w:val="DefaultParagraphFont"/>
    <w:link w:val="Footer"/>
    <w:uiPriority w:val="99"/>
    <w:rsid w:val="00102949"/>
  </w:style>
  <w:style w:type="paragraph" w:styleId="BalloonText">
    <w:name w:val="Balloon Text"/>
    <w:basedOn w:val="Normal"/>
    <w:link w:val="BalloonTextChar"/>
    <w:uiPriority w:val="99"/>
    <w:semiHidden/>
    <w:unhideWhenUsed/>
    <w:rsid w:val="00102949"/>
    <w:rPr>
      <w:rFonts w:ascii="Lucida Grande" w:hAnsi="Lucida Grande" w:cs="Lucida Grande"/>
      <w:sz w:val="18"/>
      <w:szCs w:val="18"/>
    </w:rPr>
  </w:style>
  <w:style w:type="character" w:customStyle="1" w:styleId="BalloonTextChar">
    <w:name w:val="Balloon Text Char"/>
    <w:link w:val="BalloonText"/>
    <w:uiPriority w:val="99"/>
    <w:semiHidden/>
    <w:rsid w:val="00102949"/>
    <w:rPr>
      <w:rFonts w:ascii="Lucida Grande" w:hAnsi="Lucida Grande" w:cs="Lucida Grande"/>
      <w:sz w:val="18"/>
      <w:szCs w:val="18"/>
    </w:rPr>
  </w:style>
  <w:style w:type="paragraph" w:styleId="FootnoteText">
    <w:name w:val="footnote text"/>
    <w:basedOn w:val="Normal"/>
    <w:link w:val="FootnoteTextChar"/>
    <w:uiPriority w:val="99"/>
    <w:unhideWhenUsed/>
    <w:qFormat/>
    <w:rsid w:val="008A379B"/>
  </w:style>
  <w:style w:type="character" w:customStyle="1" w:styleId="FootnoteTextChar">
    <w:name w:val="Footnote Text Char"/>
    <w:basedOn w:val="DefaultParagraphFont"/>
    <w:link w:val="FootnoteText"/>
    <w:uiPriority w:val="99"/>
    <w:rsid w:val="008A379B"/>
  </w:style>
  <w:style w:type="character" w:styleId="FootnoteReference">
    <w:name w:val="footnote reference"/>
    <w:uiPriority w:val="99"/>
    <w:unhideWhenUsed/>
    <w:rsid w:val="008A379B"/>
    <w:rPr>
      <w:vertAlign w:val="superscript"/>
    </w:rPr>
  </w:style>
  <w:style w:type="character" w:styleId="PageNumber">
    <w:name w:val="page number"/>
    <w:basedOn w:val="DefaultParagraphFont"/>
    <w:uiPriority w:val="99"/>
    <w:semiHidden/>
    <w:unhideWhenUsed/>
    <w:rsid w:val="00594D55"/>
  </w:style>
  <w:style w:type="numbering" w:customStyle="1" w:styleId="BulletBig">
    <w:name w:val="Bullet Big"/>
    <w:rsid w:val="00543E00"/>
    <w:pPr>
      <w:numPr>
        <w:numId w:val="1"/>
      </w:numPr>
    </w:pPr>
  </w:style>
  <w:style w:type="character" w:styleId="Hyperlink">
    <w:name w:val="Hyperlink"/>
    <w:uiPriority w:val="99"/>
    <w:unhideWhenUsed/>
    <w:rsid w:val="00A1195A"/>
    <w:rPr>
      <w:color w:val="4D4F53"/>
      <w:u w:val="single"/>
    </w:rPr>
  </w:style>
  <w:style w:type="paragraph" w:customStyle="1" w:styleId="BDFbulletpoints">
    <w:name w:val="BDF bullet points"/>
    <w:basedOn w:val="Normal"/>
    <w:qFormat/>
    <w:rsid w:val="00AF4E46"/>
    <w:pPr>
      <w:numPr>
        <w:numId w:val="2"/>
      </w:numPr>
      <w:pBdr>
        <w:top w:val="nil"/>
        <w:left w:val="nil"/>
        <w:bottom w:val="nil"/>
        <w:right w:val="nil"/>
        <w:between w:val="nil"/>
        <w:bar w:val="nil"/>
      </w:pBdr>
      <w:spacing w:after="240"/>
      <w:ind w:left="357" w:hanging="357"/>
    </w:pPr>
    <w:rPr>
      <w:bCs/>
    </w:rPr>
  </w:style>
  <w:style w:type="paragraph" w:customStyle="1" w:styleId="BDFintrotext">
    <w:name w:val="BDF intro text"/>
    <w:basedOn w:val="BDFCoverSubtitle"/>
    <w:rsid w:val="009B0DE9"/>
    <w:pPr>
      <w:spacing w:after="300"/>
    </w:pPr>
    <w:rPr>
      <w:color w:val="A3A5AA"/>
    </w:rPr>
  </w:style>
  <w:style w:type="paragraph" w:customStyle="1" w:styleId="BDFlastbullet">
    <w:name w:val="BDF last bullet"/>
    <w:basedOn w:val="BDFbulletpoints"/>
    <w:qFormat/>
    <w:rsid w:val="001A40CA"/>
    <w:pPr>
      <w:spacing w:after="360"/>
    </w:pPr>
  </w:style>
  <w:style w:type="paragraph" w:customStyle="1" w:styleId="BDFboxquote">
    <w:name w:val="BDF box quote"/>
    <w:basedOn w:val="Normal"/>
    <w:rsid w:val="00EF3824"/>
    <w:rPr>
      <w:rFonts w:ascii="Century Gothic" w:hAnsi="Century Gothic"/>
      <w:b/>
      <w:color w:val="DADADA"/>
      <w:sz w:val="28"/>
      <w:szCs w:val="28"/>
    </w:rPr>
  </w:style>
  <w:style w:type="paragraph" w:styleId="Title">
    <w:name w:val="Title"/>
    <w:aliases w:val="BDF Title"/>
    <w:basedOn w:val="BDFCoverTitle"/>
    <w:next w:val="Normal"/>
    <w:link w:val="TitleChar"/>
    <w:uiPriority w:val="10"/>
    <w:qFormat/>
    <w:rsid w:val="00046C94"/>
    <w:pPr>
      <w:spacing w:after="240"/>
    </w:pPr>
    <w:rPr>
      <w:bdr w:val="none" w:sz="0" w:space="0" w:color="auto"/>
    </w:rPr>
  </w:style>
  <w:style w:type="character" w:customStyle="1" w:styleId="TitleChar">
    <w:name w:val="Title Char"/>
    <w:aliases w:val="BDF Title Char"/>
    <w:link w:val="Title"/>
    <w:uiPriority w:val="10"/>
    <w:rsid w:val="00046C94"/>
    <w:rPr>
      <w:rFonts w:ascii="Century Gothic" w:eastAsia="Helvetica" w:hAnsi="Century Gothic"/>
      <w:b/>
      <w:bCs/>
      <w:color w:val="4D4F53" w:themeColor="text1"/>
      <w:sz w:val="68"/>
      <w:szCs w:val="68"/>
      <w:u w:color="000000"/>
    </w:rPr>
  </w:style>
  <w:style w:type="paragraph" w:styleId="Subtitle">
    <w:name w:val="Subtitle"/>
    <w:aliases w:val="BDF Subtitle"/>
    <w:basedOn w:val="TOC1"/>
    <w:next w:val="Normal"/>
    <w:link w:val="SubtitleChar"/>
    <w:uiPriority w:val="11"/>
    <w:qFormat/>
    <w:rsid w:val="00007584"/>
    <w:pPr>
      <w:spacing w:before="0" w:after="600"/>
    </w:pPr>
    <w:rPr>
      <w:sz w:val="40"/>
      <w:szCs w:val="40"/>
    </w:rPr>
  </w:style>
  <w:style w:type="character" w:customStyle="1" w:styleId="SubtitleChar">
    <w:name w:val="Subtitle Char"/>
    <w:aliases w:val="BDF Subtitle Char"/>
    <w:link w:val="Subtitle"/>
    <w:uiPriority w:val="11"/>
    <w:rsid w:val="00007584"/>
    <w:rPr>
      <w:rFonts w:asciiTheme="majorHAnsi" w:eastAsia="Helvetica" w:hAnsiTheme="majorHAnsi" w:cstheme="majorHAnsi"/>
      <w:b/>
      <w:color w:val="007AC9" w:themeColor="text2"/>
      <w:sz w:val="40"/>
      <w:szCs w:val="40"/>
      <w:u w:color="000000"/>
      <w:bdr w:val="nil"/>
    </w:rPr>
  </w:style>
  <w:style w:type="character" w:customStyle="1" w:styleId="Heading3Char">
    <w:name w:val="Heading 3 Char"/>
    <w:aliases w:val="BDF H3 Char"/>
    <w:link w:val="Heading3"/>
    <w:uiPriority w:val="9"/>
    <w:rsid w:val="00AF4E46"/>
    <w:rPr>
      <w:rFonts w:ascii="Century Gothic" w:eastAsia="Helvetica" w:hAnsi="Century Gothic"/>
      <w:b/>
      <w:bCs/>
      <w:color w:val="4D4F53"/>
      <w:sz w:val="24"/>
      <w:szCs w:val="26"/>
      <w:u w:color="000000"/>
      <w:bdr w:val="nil"/>
    </w:rPr>
  </w:style>
  <w:style w:type="paragraph" w:styleId="Quote">
    <w:name w:val="Quote"/>
    <w:basedOn w:val="Normal"/>
    <w:next w:val="Normal"/>
    <w:link w:val="QuoteChar"/>
    <w:uiPriority w:val="29"/>
    <w:rsid w:val="005F058D"/>
    <w:pPr>
      <w:spacing w:after="200"/>
      <w:ind w:left="432" w:right="432"/>
    </w:pPr>
  </w:style>
  <w:style w:type="character" w:customStyle="1" w:styleId="QuoteChar">
    <w:name w:val="Quote Char"/>
    <w:link w:val="Quote"/>
    <w:uiPriority w:val="29"/>
    <w:rsid w:val="005F058D"/>
    <w:rPr>
      <w:rFonts w:ascii="Arial" w:eastAsia="Helvetica" w:hAnsi="Arial"/>
      <w:color w:val="4D4F53"/>
      <w:szCs w:val="22"/>
      <w:bdr w:val="nil"/>
      <w:lang w:val="en-GB"/>
    </w:rPr>
  </w:style>
  <w:style w:type="character" w:customStyle="1" w:styleId="Heading4Char">
    <w:name w:val="Heading 4 Char"/>
    <w:aliases w:val="BDF h4 Char"/>
    <w:link w:val="Heading4"/>
    <w:uiPriority w:val="9"/>
    <w:rsid w:val="00C3748A"/>
    <w:rPr>
      <w:rFonts w:ascii="Arial" w:hAnsi="Arial" w:cs="Times New Roman"/>
      <w:b/>
      <w:bCs/>
      <w:color w:val="007AC9" w:themeColor="text2"/>
      <w:sz w:val="24"/>
      <w:szCs w:val="24"/>
      <w:u w:color="000000"/>
      <w:bdr w:val="nil"/>
    </w:rPr>
  </w:style>
  <w:style w:type="character" w:styleId="Strong">
    <w:name w:val="Strong"/>
    <w:uiPriority w:val="22"/>
    <w:rsid w:val="00A911BF"/>
    <w:rPr>
      <w:b/>
      <w:bCs/>
    </w:rPr>
  </w:style>
  <w:style w:type="paragraph" w:customStyle="1" w:styleId="BDFTableHeader">
    <w:name w:val="BDF Table Header"/>
    <w:next w:val="Normal"/>
    <w:qFormat/>
    <w:rsid w:val="00FB7021"/>
    <w:pPr>
      <w:spacing w:before="100" w:beforeAutospacing="1"/>
    </w:pPr>
    <w:rPr>
      <w:rFonts w:ascii="Century Gothic" w:eastAsia="Times New Roman" w:hAnsi="Century Gothic" w:cs="FuturaMaxiCGBold"/>
      <w:color w:val="FFFFFF"/>
      <w:spacing w:val="-1"/>
      <w:sz w:val="24"/>
      <w:szCs w:val="27"/>
    </w:rPr>
  </w:style>
  <w:style w:type="table" w:customStyle="1" w:styleId="BDFTable">
    <w:name w:val="BDF Table"/>
    <w:basedOn w:val="TableNormal"/>
    <w:uiPriority w:val="99"/>
    <w:rsid w:val="00BD52C2"/>
    <w:pPr>
      <w:suppressAutoHyphens/>
    </w:pPr>
    <w:rPr>
      <w:rFonts w:ascii="Arial" w:eastAsia="Times New Roman" w:hAnsi="Arial" w:cs="Times New Roman"/>
      <w:color w:val="FFFFFF" w:themeColor="background2"/>
      <w:sz w:val="24"/>
    </w:rPr>
    <w:tblPr>
      <w:tblStyleRowBandSize w:val="1"/>
      <w:tblStyleColBandSize w:val="1"/>
      <w:tblInd w:w="113" w:type="dxa"/>
      <w:tblBorders>
        <w:top w:val="single" w:sz="18" w:space="0" w:color="B2B4B3"/>
        <w:bottom w:val="single" w:sz="18" w:space="0" w:color="B2B4B3"/>
        <w:insideH w:val="single" w:sz="12" w:space="0" w:color="FFFFFF"/>
        <w:insideV w:val="single" w:sz="12" w:space="0" w:color="FFFFFF"/>
      </w:tblBorders>
      <w:tblCellMar>
        <w:top w:w="108" w:type="dxa"/>
        <w:bottom w:w="108" w:type="dxa"/>
      </w:tblCellMar>
    </w:tblPr>
    <w:tcPr>
      <w:shd w:val="clear" w:color="auto" w:fill="007AC9"/>
      <w:tcMar>
        <w:bottom w:w="57" w:type="dxa"/>
      </w:tcMar>
    </w:tcPr>
    <w:tblStylePr w:type="firstRow">
      <w:pPr>
        <w:jc w:val="left"/>
      </w:pPr>
      <w:rPr>
        <w:rFonts w:ascii="Arial" w:hAnsi="Arial"/>
        <w:b/>
        <w:bCs/>
        <w:color w:val="FFFFFF" w:themeColor="background2"/>
        <w:sz w:val="24"/>
        <w:szCs w:val="24"/>
        <w:u w:val="none"/>
      </w:rPr>
      <w:tblPr/>
      <w:tcPr>
        <w:tcBorders>
          <w:top w:val="single" w:sz="48" w:space="0" w:color="007AC9"/>
        </w:tcBorders>
        <w:shd w:val="clear" w:color="auto" w:fill="4D4F53"/>
        <w:vAlign w:val="top"/>
      </w:tcPr>
    </w:tblStylePr>
    <w:tblStylePr w:type="band1Horz">
      <w:pPr>
        <w:jc w:val="left"/>
      </w:pPr>
      <w:rPr>
        <w:rFonts w:ascii="Arial" w:hAnsi="Arial"/>
        <w:color w:val="4D4F53" w:themeColor="accent1"/>
        <w:sz w:val="24"/>
      </w:rPr>
      <w:tblPr/>
      <w:tcPr>
        <w:shd w:val="clear" w:color="auto" w:fill="B6B8BB" w:themeFill="text1" w:themeFillTint="66"/>
      </w:tcPr>
    </w:tblStylePr>
    <w:tblStylePr w:type="band2Horz">
      <w:rPr>
        <w:rFonts w:ascii="Arial" w:hAnsi="Arial"/>
        <w:color w:val="4D4F53" w:themeColor="accent1"/>
        <w:sz w:val="24"/>
      </w:rPr>
      <w:tblPr/>
      <w:tcPr>
        <w:shd w:val="clear" w:color="auto" w:fill="DADBDD" w:themeFill="text1" w:themeFillTint="33"/>
      </w:tcPr>
    </w:tblStylePr>
  </w:style>
  <w:style w:type="table" w:styleId="TableProfessional">
    <w:name w:val="Table Professional"/>
    <w:basedOn w:val="TableNormal"/>
    <w:uiPriority w:val="99"/>
    <w:semiHidden/>
    <w:unhideWhenUsed/>
    <w:rsid w:val="00FB7021"/>
    <w:pPr>
      <w:spacing w:after="16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Grid">
    <w:name w:val="Table Grid"/>
    <w:basedOn w:val="TableNormal"/>
    <w:uiPriority w:val="59"/>
    <w:rsid w:val="00FB70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unhideWhenUsed/>
    <w:rsid w:val="0096582C"/>
    <w:pPr>
      <w:spacing w:after="120"/>
    </w:pPr>
    <w:rPr>
      <w:rFonts w:ascii="Times New Roman" w:eastAsia="Times New Roman" w:hAnsi="Times New Roman" w:cs="Times New Roman"/>
      <w:color w:val="auto"/>
      <w:szCs w:val="24"/>
      <w:bdr w:val="none" w:sz="0" w:space="0" w:color="auto"/>
      <w:lang w:eastAsia="en-GB"/>
    </w:rPr>
  </w:style>
  <w:style w:type="character" w:customStyle="1" w:styleId="BodyTextChar">
    <w:name w:val="Body Text Char"/>
    <w:link w:val="BodyText"/>
    <w:uiPriority w:val="99"/>
    <w:semiHidden/>
    <w:rsid w:val="0096582C"/>
    <w:rPr>
      <w:rFonts w:ascii="Times New Roman" w:eastAsia="Times New Roman" w:hAnsi="Times New Roman" w:cs="Times New Roman"/>
      <w:color w:val="auto"/>
      <w:lang w:val="en-GB" w:eastAsia="en-GB"/>
    </w:rPr>
  </w:style>
  <w:style w:type="paragraph" w:styleId="TOC1">
    <w:name w:val="toc 1"/>
    <w:aliases w:val="BDF TOC 1"/>
    <w:basedOn w:val="Normal"/>
    <w:next w:val="Normal"/>
    <w:autoRedefine/>
    <w:uiPriority w:val="39"/>
    <w:unhideWhenUsed/>
    <w:qFormat/>
    <w:rsid w:val="00094A30"/>
    <w:pPr>
      <w:spacing w:before="120" w:after="120"/>
    </w:pPr>
    <w:rPr>
      <w:rFonts w:asciiTheme="majorHAnsi" w:hAnsiTheme="majorHAnsi" w:cstheme="majorHAnsi"/>
      <w:b/>
      <w:color w:val="007AC9" w:themeColor="text2"/>
      <w:sz w:val="28"/>
      <w:szCs w:val="24"/>
    </w:rPr>
  </w:style>
  <w:style w:type="paragraph" w:styleId="TOC2">
    <w:name w:val="toc 2"/>
    <w:aliases w:val="BDF TOC 2"/>
    <w:basedOn w:val="Normal"/>
    <w:next w:val="Normal"/>
    <w:autoRedefine/>
    <w:uiPriority w:val="39"/>
    <w:unhideWhenUsed/>
    <w:qFormat/>
    <w:rsid w:val="00D575AF"/>
    <w:pPr>
      <w:tabs>
        <w:tab w:val="right" w:pos="9622"/>
      </w:tabs>
      <w:spacing w:after="0"/>
    </w:pPr>
    <w:rPr>
      <w:rFonts w:asciiTheme="minorHAnsi" w:hAnsiTheme="minorHAnsi" w:cstheme="minorHAnsi"/>
      <w:color w:val="4D4F53" w:themeColor="text1"/>
    </w:rPr>
  </w:style>
  <w:style w:type="paragraph" w:styleId="TOCHeading">
    <w:name w:val="TOC Heading"/>
    <w:basedOn w:val="Heading1"/>
    <w:next w:val="Normal"/>
    <w:uiPriority w:val="39"/>
    <w:unhideWhenUsed/>
    <w:qFormat/>
    <w:rsid w:val="0096582C"/>
    <w:pPr>
      <w:spacing w:after="0" w:line="256" w:lineRule="auto"/>
      <w:outlineLvl w:val="9"/>
    </w:pPr>
    <w:rPr>
      <w:rFonts w:ascii="Calibri Light" w:eastAsia="DengXian Light" w:hAnsi="Calibri Light"/>
      <w:color w:val="2E74B5"/>
      <w:sz w:val="32"/>
      <w:bdr w:val="none" w:sz="0" w:space="0" w:color="auto"/>
      <w:lang w:val="en-US"/>
    </w:rPr>
  </w:style>
  <w:style w:type="paragraph" w:customStyle="1" w:styleId="BDFNumberlist">
    <w:name w:val="BDF Number list"/>
    <w:basedOn w:val="Normal"/>
    <w:next w:val="List"/>
    <w:qFormat/>
    <w:rsid w:val="0031160A"/>
    <w:pPr>
      <w:numPr>
        <w:numId w:val="6"/>
      </w:numPr>
    </w:pPr>
    <w:rPr>
      <w:szCs w:val="24"/>
    </w:rPr>
  </w:style>
  <w:style w:type="paragraph" w:styleId="TOC3">
    <w:name w:val="toc 3"/>
    <w:aliases w:val="BDF TOC 3"/>
    <w:basedOn w:val="Normal"/>
    <w:next w:val="Normal"/>
    <w:autoRedefine/>
    <w:uiPriority w:val="39"/>
    <w:unhideWhenUsed/>
    <w:qFormat/>
    <w:rsid w:val="0050423D"/>
    <w:pPr>
      <w:spacing w:after="20"/>
      <w:ind w:left="238"/>
    </w:pPr>
    <w:rPr>
      <w:rFonts w:asciiTheme="minorHAnsi" w:hAnsiTheme="minorHAnsi" w:cstheme="minorHAnsi"/>
      <w:color w:val="4D4F53" w:themeColor="text1"/>
    </w:rPr>
  </w:style>
  <w:style w:type="paragraph" w:styleId="List">
    <w:name w:val="List"/>
    <w:basedOn w:val="Normal"/>
    <w:uiPriority w:val="99"/>
    <w:unhideWhenUsed/>
    <w:rsid w:val="001501D2"/>
    <w:pPr>
      <w:ind w:left="283" w:hanging="283"/>
      <w:contextualSpacing/>
    </w:pPr>
  </w:style>
  <w:style w:type="paragraph" w:styleId="TOC4">
    <w:name w:val="toc 4"/>
    <w:basedOn w:val="Normal"/>
    <w:next w:val="Normal"/>
    <w:autoRedefine/>
    <w:uiPriority w:val="39"/>
    <w:unhideWhenUsed/>
    <w:rsid w:val="009F1419"/>
    <w:pPr>
      <w:pBdr>
        <w:between w:val="double" w:sz="6" w:space="0" w:color="auto"/>
      </w:pBdr>
      <w:spacing w:after="0"/>
      <w:ind w:left="480"/>
    </w:pPr>
    <w:rPr>
      <w:rFonts w:asciiTheme="minorHAnsi" w:hAnsiTheme="minorHAnsi" w:cstheme="minorHAnsi"/>
      <w:sz w:val="20"/>
      <w:szCs w:val="20"/>
    </w:rPr>
  </w:style>
  <w:style w:type="paragraph" w:styleId="TOC5">
    <w:name w:val="toc 5"/>
    <w:basedOn w:val="Normal"/>
    <w:next w:val="Normal"/>
    <w:autoRedefine/>
    <w:uiPriority w:val="39"/>
    <w:unhideWhenUsed/>
    <w:rsid w:val="009F1419"/>
    <w:pPr>
      <w:pBdr>
        <w:between w:val="double" w:sz="6" w:space="0" w:color="auto"/>
      </w:pBdr>
      <w:spacing w:after="0"/>
      <w:ind w:left="720"/>
    </w:pPr>
    <w:rPr>
      <w:rFonts w:asciiTheme="minorHAnsi" w:hAnsiTheme="minorHAnsi" w:cstheme="minorHAnsi"/>
      <w:sz w:val="20"/>
      <w:szCs w:val="20"/>
    </w:rPr>
  </w:style>
  <w:style w:type="paragraph" w:styleId="TOC6">
    <w:name w:val="toc 6"/>
    <w:basedOn w:val="Normal"/>
    <w:next w:val="Normal"/>
    <w:autoRedefine/>
    <w:uiPriority w:val="39"/>
    <w:unhideWhenUsed/>
    <w:rsid w:val="009F1419"/>
    <w:pPr>
      <w:pBdr>
        <w:between w:val="double" w:sz="6" w:space="0" w:color="auto"/>
      </w:pBdr>
      <w:spacing w:after="0"/>
      <w:ind w:left="960"/>
    </w:pPr>
    <w:rPr>
      <w:rFonts w:asciiTheme="minorHAnsi" w:hAnsiTheme="minorHAnsi" w:cstheme="minorHAnsi"/>
      <w:sz w:val="20"/>
      <w:szCs w:val="20"/>
    </w:rPr>
  </w:style>
  <w:style w:type="paragraph" w:styleId="TOC7">
    <w:name w:val="toc 7"/>
    <w:basedOn w:val="Normal"/>
    <w:next w:val="Normal"/>
    <w:autoRedefine/>
    <w:uiPriority w:val="39"/>
    <w:unhideWhenUsed/>
    <w:rsid w:val="009F1419"/>
    <w:pPr>
      <w:pBdr>
        <w:between w:val="double" w:sz="6" w:space="0" w:color="auto"/>
      </w:pBdr>
      <w:spacing w:after="0"/>
      <w:ind w:left="1200"/>
    </w:pPr>
    <w:rPr>
      <w:rFonts w:asciiTheme="minorHAnsi" w:hAnsiTheme="minorHAnsi" w:cstheme="minorHAnsi"/>
      <w:sz w:val="20"/>
      <w:szCs w:val="20"/>
    </w:rPr>
  </w:style>
  <w:style w:type="paragraph" w:styleId="TOC8">
    <w:name w:val="toc 8"/>
    <w:basedOn w:val="Normal"/>
    <w:next w:val="Normal"/>
    <w:autoRedefine/>
    <w:uiPriority w:val="39"/>
    <w:unhideWhenUsed/>
    <w:rsid w:val="009F1419"/>
    <w:pPr>
      <w:pBdr>
        <w:between w:val="double" w:sz="6" w:space="0" w:color="auto"/>
      </w:pBdr>
      <w:spacing w:after="0"/>
      <w:ind w:left="1440"/>
    </w:pPr>
    <w:rPr>
      <w:rFonts w:asciiTheme="minorHAnsi" w:hAnsiTheme="minorHAnsi" w:cstheme="minorHAnsi"/>
      <w:sz w:val="20"/>
      <w:szCs w:val="20"/>
    </w:rPr>
  </w:style>
  <w:style w:type="paragraph" w:styleId="TOC9">
    <w:name w:val="toc 9"/>
    <w:basedOn w:val="Normal"/>
    <w:next w:val="Normal"/>
    <w:autoRedefine/>
    <w:uiPriority w:val="39"/>
    <w:unhideWhenUsed/>
    <w:rsid w:val="009F1419"/>
    <w:pPr>
      <w:pBdr>
        <w:between w:val="double" w:sz="6" w:space="0" w:color="auto"/>
      </w:pBdr>
      <w:spacing w:after="0"/>
      <w:ind w:left="1680"/>
    </w:pPr>
    <w:rPr>
      <w:rFonts w:asciiTheme="minorHAnsi" w:hAnsiTheme="minorHAnsi" w:cstheme="minorHAnsi"/>
      <w:sz w:val="20"/>
      <w:szCs w:val="20"/>
    </w:rPr>
  </w:style>
  <w:style w:type="paragraph" w:styleId="NoSpacing">
    <w:name w:val="No Spacing"/>
    <w:link w:val="NoSpacingChar"/>
    <w:rsid w:val="009F1419"/>
    <w:rPr>
      <w:rFonts w:ascii="PMingLiU" w:eastAsiaTheme="minorEastAsia" w:hAnsi="PMingLiU" w:cstheme="minorBidi"/>
      <w:sz w:val="22"/>
      <w:szCs w:val="22"/>
      <w:lang w:val="en-US"/>
    </w:rPr>
  </w:style>
  <w:style w:type="character" w:customStyle="1" w:styleId="NoSpacingChar">
    <w:name w:val="No Spacing Char"/>
    <w:basedOn w:val="DefaultParagraphFont"/>
    <w:link w:val="NoSpacing"/>
    <w:rsid w:val="009F1419"/>
    <w:rPr>
      <w:rFonts w:ascii="PMingLiU" w:eastAsiaTheme="minorEastAsia" w:hAnsi="PMingLiU" w:cstheme="minorBidi"/>
      <w:sz w:val="22"/>
      <w:szCs w:val="22"/>
      <w:lang w:val="en-US"/>
    </w:rPr>
  </w:style>
  <w:style w:type="paragraph" w:customStyle="1" w:styleId="BDFCoverTitle">
    <w:name w:val="BDF Cover Title"/>
    <w:qFormat/>
    <w:rsid w:val="00C93A3E"/>
    <w:pPr>
      <w:suppressAutoHyphens/>
      <w:spacing w:after="120"/>
    </w:pPr>
    <w:rPr>
      <w:rFonts w:ascii="Century Gothic" w:eastAsia="Helvetica" w:hAnsi="Century Gothic"/>
      <w:b/>
      <w:bCs/>
      <w:color w:val="4D4F53" w:themeColor="text1"/>
      <w:sz w:val="68"/>
      <w:szCs w:val="68"/>
      <w:u w:color="000000"/>
      <w:bdr w:val="nil"/>
    </w:rPr>
  </w:style>
  <w:style w:type="paragraph" w:styleId="TOAHeading">
    <w:name w:val="toa heading"/>
    <w:basedOn w:val="Normal"/>
    <w:next w:val="Normal"/>
    <w:uiPriority w:val="99"/>
    <w:semiHidden/>
    <w:unhideWhenUsed/>
    <w:rsid w:val="00B34F41"/>
    <w:pPr>
      <w:spacing w:before="120"/>
    </w:pPr>
    <w:rPr>
      <w:rFonts w:asciiTheme="majorHAnsi" w:eastAsiaTheme="majorEastAsia" w:hAnsiTheme="majorHAnsi" w:cstheme="majorBidi"/>
      <w:b/>
      <w:bCs/>
      <w:szCs w:val="24"/>
    </w:rPr>
  </w:style>
  <w:style w:type="paragraph" w:styleId="Caption">
    <w:name w:val="caption"/>
    <w:basedOn w:val="Normal"/>
    <w:next w:val="Normal"/>
    <w:uiPriority w:val="35"/>
    <w:unhideWhenUsed/>
    <w:rsid w:val="00C72620"/>
    <w:pPr>
      <w:spacing w:after="200"/>
    </w:pPr>
    <w:rPr>
      <w:b/>
      <w:bCs/>
      <w:color w:val="4D4F53" w:themeColor="accent1"/>
      <w:sz w:val="18"/>
      <w:szCs w:val="18"/>
    </w:rPr>
  </w:style>
  <w:style w:type="paragraph" w:customStyle="1" w:styleId="BDFLetterlist">
    <w:name w:val="BDF Letter list"/>
    <w:qFormat/>
    <w:rsid w:val="005114F6"/>
    <w:pPr>
      <w:numPr>
        <w:numId w:val="5"/>
      </w:numPr>
      <w:spacing w:after="240"/>
    </w:pPr>
    <w:rPr>
      <w:rFonts w:ascii="Arial" w:eastAsia="Helvetica" w:hAnsi="Arial"/>
      <w:color w:val="4D4F53" w:themeColor="accent1"/>
      <w:sz w:val="24"/>
      <w:szCs w:val="22"/>
      <w:u w:color="000000"/>
      <w:bdr w:val="nil"/>
    </w:rPr>
  </w:style>
  <w:style w:type="paragraph" w:styleId="ListParagraph">
    <w:name w:val="List Paragraph"/>
    <w:basedOn w:val="Normal"/>
    <w:uiPriority w:val="34"/>
    <w:rsid w:val="0002522D"/>
    <w:pPr>
      <w:ind w:left="720"/>
      <w:contextualSpacing/>
    </w:pPr>
  </w:style>
  <w:style w:type="paragraph" w:customStyle="1" w:styleId="BDFContentstitle">
    <w:name w:val="BDF Contents title"/>
    <w:basedOn w:val="Normal"/>
    <w:qFormat/>
    <w:rsid w:val="00826A75"/>
    <w:rPr>
      <w:rFonts w:ascii="Century Gothic" w:hAnsi="Century Gothic"/>
      <w:b/>
      <w:color w:val="007AC9" w:themeColor="text2"/>
      <w:sz w:val="36"/>
      <w:szCs w:val="36"/>
    </w:rPr>
  </w:style>
  <w:style w:type="character" w:styleId="FollowedHyperlink">
    <w:name w:val="FollowedHyperlink"/>
    <w:basedOn w:val="DefaultParagraphFont"/>
    <w:uiPriority w:val="99"/>
    <w:semiHidden/>
    <w:unhideWhenUsed/>
    <w:rsid w:val="0043208C"/>
    <w:rPr>
      <w:color w:val="000000" w:themeColor="followedHyperlink"/>
      <w:u w:val="single"/>
    </w:rPr>
  </w:style>
  <w:style w:type="paragraph" w:styleId="EndnoteText">
    <w:name w:val="endnote text"/>
    <w:basedOn w:val="Normal"/>
    <w:link w:val="EndnoteTextChar"/>
    <w:uiPriority w:val="99"/>
    <w:semiHidden/>
    <w:unhideWhenUsed/>
    <w:rsid w:val="0043208C"/>
    <w:pPr>
      <w:spacing w:after="0"/>
    </w:pPr>
    <w:rPr>
      <w:sz w:val="20"/>
      <w:szCs w:val="20"/>
    </w:rPr>
  </w:style>
  <w:style w:type="character" w:customStyle="1" w:styleId="EndnoteTextChar">
    <w:name w:val="Endnote Text Char"/>
    <w:basedOn w:val="DefaultParagraphFont"/>
    <w:link w:val="EndnoteText"/>
    <w:uiPriority w:val="99"/>
    <w:semiHidden/>
    <w:rsid w:val="0043208C"/>
    <w:rPr>
      <w:rFonts w:ascii="Arial" w:eastAsia="Helvetica" w:hAnsi="Arial"/>
      <w:color w:val="4D4F53"/>
      <w:u w:color="000000"/>
      <w:bdr w:val="nil"/>
    </w:rPr>
  </w:style>
  <w:style w:type="character" w:styleId="EndnoteReference">
    <w:name w:val="endnote reference"/>
    <w:basedOn w:val="DefaultParagraphFont"/>
    <w:uiPriority w:val="99"/>
    <w:semiHidden/>
    <w:unhideWhenUsed/>
    <w:rsid w:val="0043208C"/>
    <w:rPr>
      <w:vertAlign w:val="superscript"/>
    </w:rPr>
  </w:style>
  <w:style w:type="paragraph" w:customStyle="1" w:styleId="Default">
    <w:name w:val="Default"/>
    <w:rsid w:val="00A36A35"/>
    <w:pPr>
      <w:autoSpaceDE w:val="0"/>
      <w:autoSpaceDN w:val="0"/>
      <w:adjustRightInd w:val="0"/>
    </w:pPr>
    <w:rPr>
      <w:rFonts w:ascii="Arial" w:hAnsi="Arial" w:cs="Arial"/>
      <w:color w:val="000000"/>
      <w:sz w:val="24"/>
      <w:szCs w:val="24"/>
    </w:rPr>
  </w:style>
  <w:style w:type="character" w:customStyle="1" w:styleId="st1">
    <w:name w:val="st1"/>
    <w:basedOn w:val="DefaultParagraphFont"/>
    <w:rsid w:val="00D23190"/>
  </w:style>
  <w:style w:type="paragraph" w:styleId="List2">
    <w:name w:val="List 2"/>
    <w:basedOn w:val="Normal"/>
    <w:uiPriority w:val="99"/>
    <w:semiHidden/>
    <w:unhideWhenUsed/>
    <w:rsid w:val="001B3318"/>
    <w:pPr>
      <w:ind w:left="566" w:hanging="283"/>
      <w:contextualSpacing/>
    </w:pPr>
  </w:style>
  <w:style w:type="paragraph" w:styleId="NormalWeb">
    <w:name w:val="Normal (Web)"/>
    <w:basedOn w:val="Normal"/>
    <w:uiPriority w:val="99"/>
    <w:unhideWhenUsed/>
    <w:rsid w:val="00560E1C"/>
    <w:pPr>
      <w:spacing w:before="100" w:beforeAutospacing="1" w:after="100" w:afterAutospacing="1"/>
    </w:pPr>
    <w:rPr>
      <w:rFonts w:ascii="Times New Roman" w:eastAsia="Times New Roman" w:hAnsi="Times New Roman" w:cs="Times New Roman"/>
      <w:color w:val="auto"/>
      <w:szCs w:val="24"/>
      <w:bdr w:val="none" w:sz="0" w:space="0" w:color="auto"/>
      <w:lang w:eastAsia="en-GB"/>
    </w:rPr>
  </w:style>
  <w:style w:type="character" w:styleId="CommentReference">
    <w:name w:val="annotation reference"/>
    <w:basedOn w:val="DefaultParagraphFont"/>
    <w:uiPriority w:val="99"/>
    <w:semiHidden/>
    <w:unhideWhenUsed/>
    <w:rsid w:val="00BB4427"/>
    <w:rPr>
      <w:sz w:val="16"/>
      <w:szCs w:val="16"/>
    </w:rPr>
  </w:style>
  <w:style w:type="paragraph" w:styleId="CommentText">
    <w:name w:val="annotation text"/>
    <w:basedOn w:val="Normal"/>
    <w:link w:val="CommentTextChar"/>
    <w:uiPriority w:val="99"/>
    <w:unhideWhenUsed/>
    <w:rsid w:val="00BB4427"/>
    <w:rPr>
      <w:sz w:val="20"/>
      <w:szCs w:val="20"/>
    </w:rPr>
  </w:style>
  <w:style w:type="character" w:customStyle="1" w:styleId="CommentTextChar">
    <w:name w:val="Comment Text Char"/>
    <w:basedOn w:val="DefaultParagraphFont"/>
    <w:link w:val="CommentText"/>
    <w:uiPriority w:val="99"/>
    <w:rsid w:val="00BB4427"/>
    <w:rPr>
      <w:rFonts w:ascii="Arial" w:eastAsia="Helvetica" w:hAnsi="Arial"/>
      <w:color w:val="4D4F53"/>
      <w:u w:color="000000"/>
      <w:bdr w:val="nil"/>
    </w:rPr>
  </w:style>
  <w:style w:type="paragraph" w:styleId="CommentSubject">
    <w:name w:val="annotation subject"/>
    <w:basedOn w:val="CommentText"/>
    <w:next w:val="CommentText"/>
    <w:link w:val="CommentSubjectChar"/>
    <w:uiPriority w:val="99"/>
    <w:semiHidden/>
    <w:unhideWhenUsed/>
    <w:rsid w:val="00BB4427"/>
    <w:rPr>
      <w:b/>
      <w:bCs/>
    </w:rPr>
  </w:style>
  <w:style w:type="character" w:customStyle="1" w:styleId="CommentSubjectChar">
    <w:name w:val="Comment Subject Char"/>
    <w:basedOn w:val="CommentTextChar"/>
    <w:link w:val="CommentSubject"/>
    <w:uiPriority w:val="99"/>
    <w:semiHidden/>
    <w:rsid w:val="00BB4427"/>
    <w:rPr>
      <w:rFonts w:ascii="Arial" w:eastAsia="Helvetica" w:hAnsi="Arial"/>
      <w:b/>
      <w:bCs/>
      <w:color w:val="4D4F53"/>
      <w:u w:color="000000"/>
      <w:bdr w:val="nil"/>
    </w:rPr>
  </w:style>
  <w:style w:type="table" w:customStyle="1" w:styleId="TableGrid1">
    <w:name w:val="Table Grid1"/>
    <w:basedOn w:val="TableNormal"/>
    <w:next w:val="TableGrid"/>
    <w:uiPriority w:val="59"/>
    <w:rsid w:val="007D6B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67F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uiPriority w:val="20"/>
    <w:qFormat/>
    <w:rsid w:val="0002145D"/>
    <w:rPr>
      <w:b/>
    </w:rPr>
  </w:style>
  <w:style w:type="paragraph" w:customStyle="1" w:styleId="BDFEmphasis">
    <w:name w:val="BDF Emphasis"/>
    <w:basedOn w:val="Normal"/>
    <w:next w:val="Normal"/>
    <w:link w:val="BDFEmphasisChar"/>
    <w:qFormat/>
    <w:rsid w:val="00305130"/>
    <w:pPr>
      <w:spacing w:before="360" w:after="360"/>
      <w:ind w:left="431" w:right="431"/>
    </w:pPr>
    <w:rPr>
      <w:b/>
    </w:rPr>
  </w:style>
  <w:style w:type="character" w:customStyle="1" w:styleId="BDFEmphasisChar">
    <w:name w:val="BDF Emphasis Char"/>
    <w:basedOn w:val="DefaultParagraphFont"/>
    <w:link w:val="BDFEmphasis"/>
    <w:rsid w:val="00305130"/>
    <w:rPr>
      <w:rFonts w:ascii="Arial" w:eastAsia="Helvetica" w:hAnsi="Arial"/>
      <w:b/>
      <w:color w:val="4D4F53"/>
      <w:sz w:val="24"/>
      <w:szCs w:val="22"/>
      <w:u w:color="000000"/>
      <w:bdr w:val="nil"/>
    </w:rPr>
  </w:style>
  <w:style w:type="paragraph" w:customStyle="1" w:styleId="BDFCharttitle">
    <w:name w:val="BDF Chart title"/>
    <w:basedOn w:val="Normal"/>
    <w:link w:val="BDFCharttitleChar"/>
    <w:qFormat/>
    <w:rsid w:val="00050488"/>
    <w:pPr>
      <w:spacing w:before="120"/>
    </w:pPr>
    <w:rPr>
      <w:b/>
    </w:rPr>
  </w:style>
  <w:style w:type="character" w:customStyle="1" w:styleId="BDFCharttitleChar">
    <w:name w:val="BDF Chart title Char"/>
    <w:basedOn w:val="DefaultParagraphFont"/>
    <w:link w:val="BDFCharttitle"/>
    <w:rsid w:val="00050488"/>
    <w:rPr>
      <w:rFonts w:ascii="Arial" w:eastAsia="Helvetica" w:hAnsi="Arial"/>
      <w:b/>
      <w:color w:val="4D4F53"/>
      <w:sz w:val="24"/>
      <w:szCs w:val="22"/>
      <w:u w:color="000000"/>
      <w:bdr w:val="nil"/>
    </w:rPr>
  </w:style>
  <w:style w:type="paragraph" w:customStyle="1" w:styleId="BDFPulltext">
    <w:name w:val="BDF Pull text"/>
    <w:basedOn w:val="Normal"/>
    <w:qFormat/>
    <w:rsid w:val="00F97C49"/>
    <w:pPr>
      <w:spacing w:before="480" w:after="600"/>
    </w:pPr>
    <w:rPr>
      <w:rFonts w:ascii="Century Gothic" w:hAnsi="Century Gothic"/>
      <w:b/>
      <w:color w:val="007AC9" w:themeColor="text2"/>
      <w:sz w:val="32"/>
    </w:rPr>
  </w:style>
  <w:style w:type="character" w:styleId="UnresolvedMention">
    <w:name w:val="Unresolved Mention"/>
    <w:basedOn w:val="DefaultParagraphFont"/>
    <w:uiPriority w:val="99"/>
    <w:semiHidden/>
    <w:unhideWhenUsed/>
    <w:rsid w:val="00135DD8"/>
    <w:rPr>
      <w:color w:val="605E5C"/>
      <w:shd w:val="clear" w:color="auto" w:fill="E1DFDD"/>
    </w:rPr>
  </w:style>
  <w:style w:type="paragraph" w:styleId="Revision">
    <w:name w:val="Revision"/>
    <w:hidden/>
    <w:uiPriority w:val="99"/>
    <w:semiHidden/>
    <w:rsid w:val="00F8640C"/>
    <w:rPr>
      <w:rFonts w:ascii="Arial" w:eastAsia="Helvetica" w:hAnsi="Arial"/>
      <w:color w:val="4D4F53"/>
      <w:sz w:val="24"/>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092374">
      <w:bodyDiv w:val="1"/>
      <w:marLeft w:val="0"/>
      <w:marRight w:val="0"/>
      <w:marTop w:val="0"/>
      <w:marBottom w:val="0"/>
      <w:divBdr>
        <w:top w:val="none" w:sz="0" w:space="0" w:color="auto"/>
        <w:left w:val="none" w:sz="0" w:space="0" w:color="auto"/>
        <w:bottom w:val="none" w:sz="0" w:space="0" w:color="auto"/>
        <w:right w:val="none" w:sz="0" w:space="0" w:color="auto"/>
      </w:divBdr>
    </w:div>
    <w:div w:id="124276621">
      <w:bodyDiv w:val="1"/>
      <w:marLeft w:val="0"/>
      <w:marRight w:val="0"/>
      <w:marTop w:val="0"/>
      <w:marBottom w:val="0"/>
      <w:divBdr>
        <w:top w:val="none" w:sz="0" w:space="0" w:color="auto"/>
        <w:left w:val="none" w:sz="0" w:space="0" w:color="auto"/>
        <w:bottom w:val="none" w:sz="0" w:space="0" w:color="auto"/>
        <w:right w:val="none" w:sz="0" w:space="0" w:color="auto"/>
      </w:divBdr>
      <w:divsChild>
        <w:div w:id="165176397">
          <w:marLeft w:val="706"/>
          <w:marRight w:val="0"/>
          <w:marTop w:val="60"/>
          <w:marBottom w:val="60"/>
          <w:divBdr>
            <w:top w:val="none" w:sz="0" w:space="0" w:color="auto"/>
            <w:left w:val="none" w:sz="0" w:space="0" w:color="auto"/>
            <w:bottom w:val="none" w:sz="0" w:space="0" w:color="auto"/>
            <w:right w:val="none" w:sz="0" w:space="0" w:color="auto"/>
          </w:divBdr>
        </w:div>
        <w:div w:id="1757903056">
          <w:marLeft w:val="706"/>
          <w:marRight w:val="0"/>
          <w:marTop w:val="60"/>
          <w:marBottom w:val="60"/>
          <w:divBdr>
            <w:top w:val="none" w:sz="0" w:space="0" w:color="auto"/>
            <w:left w:val="none" w:sz="0" w:space="0" w:color="auto"/>
            <w:bottom w:val="none" w:sz="0" w:space="0" w:color="auto"/>
            <w:right w:val="none" w:sz="0" w:space="0" w:color="auto"/>
          </w:divBdr>
        </w:div>
        <w:div w:id="1946031953">
          <w:marLeft w:val="706"/>
          <w:marRight w:val="0"/>
          <w:marTop w:val="60"/>
          <w:marBottom w:val="60"/>
          <w:divBdr>
            <w:top w:val="none" w:sz="0" w:space="0" w:color="auto"/>
            <w:left w:val="none" w:sz="0" w:space="0" w:color="auto"/>
            <w:bottom w:val="none" w:sz="0" w:space="0" w:color="auto"/>
            <w:right w:val="none" w:sz="0" w:space="0" w:color="auto"/>
          </w:divBdr>
        </w:div>
      </w:divsChild>
    </w:div>
    <w:div w:id="166598606">
      <w:bodyDiv w:val="1"/>
      <w:marLeft w:val="0"/>
      <w:marRight w:val="0"/>
      <w:marTop w:val="0"/>
      <w:marBottom w:val="0"/>
      <w:divBdr>
        <w:top w:val="none" w:sz="0" w:space="0" w:color="auto"/>
        <w:left w:val="none" w:sz="0" w:space="0" w:color="auto"/>
        <w:bottom w:val="none" w:sz="0" w:space="0" w:color="auto"/>
        <w:right w:val="none" w:sz="0" w:space="0" w:color="auto"/>
      </w:divBdr>
      <w:divsChild>
        <w:div w:id="94248234">
          <w:marLeft w:val="706"/>
          <w:marRight w:val="0"/>
          <w:marTop w:val="60"/>
          <w:marBottom w:val="60"/>
          <w:divBdr>
            <w:top w:val="none" w:sz="0" w:space="0" w:color="auto"/>
            <w:left w:val="none" w:sz="0" w:space="0" w:color="auto"/>
            <w:bottom w:val="none" w:sz="0" w:space="0" w:color="auto"/>
            <w:right w:val="none" w:sz="0" w:space="0" w:color="auto"/>
          </w:divBdr>
        </w:div>
        <w:div w:id="523521364">
          <w:marLeft w:val="706"/>
          <w:marRight w:val="0"/>
          <w:marTop w:val="60"/>
          <w:marBottom w:val="60"/>
          <w:divBdr>
            <w:top w:val="none" w:sz="0" w:space="0" w:color="auto"/>
            <w:left w:val="none" w:sz="0" w:space="0" w:color="auto"/>
            <w:bottom w:val="none" w:sz="0" w:space="0" w:color="auto"/>
            <w:right w:val="none" w:sz="0" w:space="0" w:color="auto"/>
          </w:divBdr>
        </w:div>
        <w:div w:id="795872741">
          <w:marLeft w:val="706"/>
          <w:marRight w:val="0"/>
          <w:marTop w:val="60"/>
          <w:marBottom w:val="60"/>
          <w:divBdr>
            <w:top w:val="none" w:sz="0" w:space="0" w:color="auto"/>
            <w:left w:val="none" w:sz="0" w:space="0" w:color="auto"/>
            <w:bottom w:val="none" w:sz="0" w:space="0" w:color="auto"/>
            <w:right w:val="none" w:sz="0" w:space="0" w:color="auto"/>
          </w:divBdr>
        </w:div>
        <w:div w:id="1260672556">
          <w:marLeft w:val="706"/>
          <w:marRight w:val="0"/>
          <w:marTop w:val="60"/>
          <w:marBottom w:val="60"/>
          <w:divBdr>
            <w:top w:val="none" w:sz="0" w:space="0" w:color="auto"/>
            <w:left w:val="none" w:sz="0" w:space="0" w:color="auto"/>
            <w:bottom w:val="none" w:sz="0" w:space="0" w:color="auto"/>
            <w:right w:val="none" w:sz="0" w:space="0" w:color="auto"/>
          </w:divBdr>
        </w:div>
        <w:div w:id="1400447144">
          <w:marLeft w:val="432"/>
          <w:marRight w:val="0"/>
          <w:marTop w:val="60"/>
          <w:marBottom w:val="60"/>
          <w:divBdr>
            <w:top w:val="none" w:sz="0" w:space="0" w:color="auto"/>
            <w:left w:val="none" w:sz="0" w:space="0" w:color="auto"/>
            <w:bottom w:val="none" w:sz="0" w:space="0" w:color="auto"/>
            <w:right w:val="none" w:sz="0" w:space="0" w:color="auto"/>
          </w:divBdr>
        </w:div>
        <w:div w:id="1535381476">
          <w:marLeft w:val="432"/>
          <w:marRight w:val="0"/>
          <w:marTop w:val="60"/>
          <w:marBottom w:val="60"/>
          <w:divBdr>
            <w:top w:val="none" w:sz="0" w:space="0" w:color="auto"/>
            <w:left w:val="none" w:sz="0" w:space="0" w:color="auto"/>
            <w:bottom w:val="none" w:sz="0" w:space="0" w:color="auto"/>
            <w:right w:val="none" w:sz="0" w:space="0" w:color="auto"/>
          </w:divBdr>
        </w:div>
        <w:div w:id="1943686244">
          <w:marLeft w:val="706"/>
          <w:marRight w:val="0"/>
          <w:marTop w:val="60"/>
          <w:marBottom w:val="60"/>
          <w:divBdr>
            <w:top w:val="none" w:sz="0" w:space="0" w:color="auto"/>
            <w:left w:val="none" w:sz="0" w:space="0" w:color="auto"/>
            <w:bottom w:val="none" w:sz="0" w:space="0" w:color="auto"/>
            <w:right w:val="none" w:sz="0" w:space="0" w:color="auto"/>
          </w:divBdr>
        </w:div>
        <w:div w:id="2128116963">
          <w:marLeft w:val="706"/>
          <w:marRight w:val="0"/>
          <w:marTop w:val="60"/>
          <w:marBottom w:val="60"/>
          <w:divBdr>
            <w:top w:val="none" w:sz="0" w:space="0" w:color="auto"/>
            <w:left w:val="none" w:sz="0" w:space="0" w:color="auto"/>
            <w:bottom w:val="none" w:sz="0" w:space="0" w:color="auto"/>
            <w:right w:val="none" w:sz="0" w:space="0" w:color="auto"/>
          </w:divBdr>
        </w:div>
      </w:divsChild>
    </w:div>
    <w:div w:id="205876156">
      <w:bodyDiv w:val="1"/>
      <w:marLeft w:val="0"/>
      <w:marRight w:val="0"/>
      <w:marTop w:val="0"/>
      <w:marBottom w:val="0"/>
      <w:divBdr>
        <w:top w:val="none" w:sz="0" w:space="0" w:color="auto"/>
        <w:left w:val="none" w:sz="0" w:space="0" w:color="auto"/>
        <w:bottom w:val="none" w:sz="0" w:space="0" w:color="auto"/>
        <w:right w:val="none" w:sz="0" w:space="0" w:color="auto"/>
      </w:divBdr>
    </w:div>
    <w:div w:id="233780161">
      <w:bodyDiv w:val="1"/>
      <w:marLeft w:val="0"/>
      <w:marRight w:val="0"/>
      <w:marTop w:val="0"/>
      <w:marBottom w:val="0"/>
      <w:divBdr>
        <w:top w:val="none" w:sz="0" w:space="0" w:color="auto"/>
        <w:left w:val="none" w:sz="0" w:space="0" w:color="auto"/>
        <w:bottom w:val="none" w:sz="0" w:space="0" w:color="auto"/>
        <w:right w:val="none" w:sz="0" w:space="0" w:color="auto"/>
      </w:divBdr>
    </w:div>
    <w:div w:id="426582232">
      <w:bodyDiv w:val="1"/>
      <w:marLeft w:val="0"/>
      <w:marRight w:val="0"/>
      <w:marTop w:val="0"/>
      <w:marBottom w:val="0"/>
      <w:divBdr>
        <w:top w:val="none" w:sz="0" w:space="0" w:color="auto"/>
        <w:left w:val="none" w:sz="0" w:space="0" w:color="auto"/>
        <w:bottom w:val="none" w:sz="0" w:space="0" w:color="auto"/>
        <w:right w:val="none" w:sz="0" w:space="0" w:color="auto"/>
      </w:divBdr>
    </w:div>
    <w:div w:id="458378252">
      <w:bodyDiv w:val="1"/>
      <w:marLeft w:val="0"/>
      <w:marRight w:val="0"/>
      <w:marTop w:val="0"/>
      <w:marBottom w:val="0"/>
      <w:divBdr>
        <w:top w:val="none" w:sz="0" w:space="0" w:color="auto"/>
        <w:left w:val="none" w:sz="0" w:space="0" w:color="auto"/>
        <w:bottom w:val="none" w:sz="0" w:space="0" w:color="auto"/>
        <w:right w:val="none" w:sz="0" w:space="0" w:color="auto"/>
      </w:divBdr>
    </w:div>
    <w:div w:id="793210578">
      <w:bodyDiv w:val="1"/>
      <w:marLeft w:val="0"/>
      <w:marRight w:val="0"/>
      <w:marTop w:val="0"/>
      <w:marBottom w:val="0"/>
      <w:divBdr>
        <w:top w:val="none" w:sz="0" w:space="0" w:color="auto"/>
        <w:left w:val="none" w:sz="0" w:space="0" w:color="auto"/>
        <w:bottom w:val="none" w:sz="0" w:space="0" w:color="auto"/>
        <w:right w:val="none" w:sz="0" w:space="0" w:color="auto"/>
      </w:divBdr>
    </w:div>
    <w:div w:id="887649764">
      <w:bodyDiv w:val="1"/>
      <w:marLeft w:val="0"/>
      <w:marRight w:val="0"/>
      <w:marTop w:val="0"/>
      <w:marBottom w:val="0"/>
      <w:divBdr>
        <w:top w:val="none" w:sz="0" w:space="0" w:color="auto"/>
        <w:left w:val="none" w:sz="0" w:space="0" w:color="auto"/>
        <w:bottom w:val="none" w:sz="0" w:space="0" w:color="auto"/>
        <w:right w:val="none" w:sz="0" w:space="0" w:color="auto"/>
      </w:divBdr>
    </w:div>
    <w:div w:id="891648023">
      <w:bodyDiv w:val="1"/>
      <w:marLeft w:val="0"/>
      <w:marRight w:val="0"/>
      <w:marTop w:val="0"/>
      <w:marBottom w:val="0"/>
      <w:divBdr>
        <w:top w:val="none" w:sz="0" w:space="0" w:color="auto"/>
        <w:left w:val="none" w:sz="0" w:space="0" w:color="auto"/>
        <w:bottom w:val="none" w:sz="0" w:space="0" w:color="auto"/>
        <w:right w:val="none" w:sz="0" w:space="0" w:color="auto"/>
      </w:divBdr>
    </w:div>
    <w:div w:id="1028873777">
      <w:bodyDiv w:val="1"/>
      <w:marLeft w:val="0"/>
      <w:marRight w:val="0"/>
      <w:marTop w:val="0"/>
      <w:marBottom w:val="0"/>
      <w:divBdr>
        <w:top w:val="none" w:sz="0" w:space="0" w:color="auto"/>
        <w:left w:val="none" w:sz="0" w:space="0" w:color="auto"/>
        <w:bottom w:val="none" w:sz="0" w:space="0" w:color="auto"/>
        <w:right w:val="none" w:sz="0" w:space="0" w:color="auto"/>
      </w:divBdr>
    </w:div>
    <w:div w:id="1538277857">
      <w:bodyDiv w:val="1"/>
      <w:marLeft w:val="0"/>
      <w:marRight w:val="0"/>
      <w:marTop w:val="0"/>
      <w:marBottom w:val="0"/>
      <w:divBdr>
        <w:top w:val="none" w:sz="0" w:space="0" w:color="auto"/>
        <w:left w:val="none" w:sz="0" w:space="0" w:color="auto"/>
        <w:bottom w:val="none" w:sz="0" w:space="0" w:color="auto"/>
        <w:right w:val="none" w:sz="0" w:space="0" w:color="auto"/>
      </w:divBdr>
    </w:div>
    <w:div w:id="1608389585">
      <w:bodyDiv w:val="1"/>
      <w:marLeft w:val="0"/>
      <w:marRight w:val="0"/>
      <w:marTop w:val="0"/>
      <w:marBottom w:val="0"/>
      <w:divBdr>
        <w:top w:val="none" w:sz="0" w:space="0" w:color="auto"/>
        <w:left w:val="none" w:sz="0" w:space="0" w:color="auto"/>
        <w:bottom w:val="none" w:sz="0" w:space="0" w:color="auto"/>
        <w:right w:val="none" w:sz="0" w:space="0" w:color="auto"/>
      </w:divBdr>
    </w:div>
    <w:div w:id="1696074957">
      <w:bodyDiv w:val="1"/>
      <w:marLeft w:val="0"/>
      <w:marRight w:val="0"/>
      <w:marTop w:val="0"/>
      <w:marBottom w:val="0"/>
      <w:divBdr>
        <w:top w:val="none" w:sz="0" w:space="0" w:color="auto"/>
        <w:left w:val="none" w:sz="0" w:space="0" w:color="auto"/>
        <w:bottom w:val="none" w:sz="0" w:space="0" w:color="auto"/>
        <w:right w:val="none" w:sz="0" w:space="0" w:color="auto"/>
      </w:divBdr>
    </w:div>
    <w:div w:id="1784689834">
      <w:bodyDiv w:val="1"/>
      <w:marLeft w:val="0"/>
      <w:marRight w:val="0"/>
      <w:marTop w:val="0"/>
      <w:marBottom w:val="0"/>
      <w:divBdr>
        <w:top w:val="none" w:sz="0" w:space="0" w:color="auto"/>
        <w:left w:val="none" w:sz="0" w:space="0" w:color="auto"/>
        <w:bottom w:val="none" w:sz="0" w:space="0" w:color="auto"/>
        <w:right w:val="none" w:sz="0" w:space="0" w:color="auto"/>
      </w:divBdr>
    </w:div>
    <w:div w:id="1807624804">
      <w:bodyDiv w:val="1"/>
      <w:marLeft w:val="0"/>
      <w:marRight w:val="0"/>
      <w:marTop w:val="0"/>
      <w:marBottom w:val="0"/>
      <w:divBdr>
        <w:top w:val="none" w:sz="0" w:space="0" w:color="auto"/>
        <w:left w:val="none" w:sz="0" w:space="0" w:color="auto"/>
        <w:bottom w:val="none" w:sz="0" w:space="0" w:color="auto"/>
        <w:right w:val="none" w:sz="0" w:space="0" w:color="auto"/>
      </w:divBdr>
      <w:divsChild>
        <w:div w:id="1873882948">
          <w:marLeft w:val="994"/>
          <w:marRight w:val="0"/>
          <w:marTop w:val="60"/>
          <w:marBottom w:val="60"/>
          <w:divBdr>
            <w:top w:val="none" w:sz="0" w:space="0" w:color="auto"/>
            <w:left w:val="none" w:sz="0" w:space="0" w:color="auto"/>
            <w:bottom w:val="none" w:sz="0" w:space="0" w:color="auto"/>
            <w:right w:val="none" w:sz="0" w:space="0" w:color="auto"/>
          </w:divBdr>
        </w:div>
      </w:divsChild>
    </w:div>
    <w:div w:id="1867982594">
      <w:bodyDiv w:val="1"/>
      <w:marLeft w:val="0"/>
      <w:marRight w:val="0"/>
      <w:marTop w:val="0"/>
      <w:marBottom w:val="0"/>
      <w:divBdr>
        <w:top w:val="none" w:sz="0" w:space="0" w:color="auto"/>
        <w:left w:val="none" w:sz="0" w:space="0" w:color="auto"/>
        <w:bottom w:val="none" w:sz="0" w:space="0" w:color="auto"/>
        <w:right w:val="none" w:sz="0" w:space="0" w:color="auto"/>
      </w:divBdr>
    </w:div>
    <w:div w:id="1931809452">
      <w:bodyDiv w:val="1"/>
      <w:marLeft w:val="0"/>
      <w:marRight w:val="0"/>
      <w:marTop w:val="0"/>
      <w:marBottom w:val="0"/>
      <w:divBdr>
        <w:top w:val="none" w:sz="0" w:space="0" w:color="auto"/>
        <w:left w:val="none" w:sz="0" w:space="0" w:color="auto"/>
        <w:bottom w:val="none" w:sz="0" w:space="0" w:color="auto"/>
        <w:right w:val="none" w:sz="0" w:space="0" w:color="auto"/>
      </w:divBdr>
    </w:div>
    <w:div w:id="1979527398">
      <w:bodyDiv w:val="1"/>
      <w:marLeft w:val="0"/>
      <w:marRight w:val="0"/>
      <w:marTop w:val="0"/>
      <w:marBottom w:val="0"/>
      <w:divBdr>
        <w:top w:val="none" w:sz="0" w:space="0" w:color="auto"/>
        <w:left w:val="none" w:sz="0" w:space="0" w:color="auto"/>
        <w:bottom w:val="none" w:sz="0" w:space="0" w:color="auto"/>
        <w:right w:val="none" w:sz="0" w:space="0" w:color="auto"/>
      </w:divBdr>
      <w:divsChild>
        <w:div w:id="18553047">
          <w:marLeft w:val="0"/>
          <w:marRight w:val="0"/>
          <w:marTop w:val="0"/>
          <w:marBottom w:val="0"/>
          <w:divBdr>
            <w:top w:val="none" w:sz="0" w:space="0" w:color="auto"/>
            <w:left w:val="none" w:sz="0" w:space="0" w:color="auto"/>
            <w:bottom w:val="none" w:sz="0" w:space="0" w:color="auto"/>
            <w:right w:val="none" w:sz="0" w:space="0" w:color="auto"/>
          </w:divBdr>
        </w:div>
      </w:divsChild>
    </w:div>
    <w:div w:id="2122916854">
      <w:bodyDiv w:val="1"/>
      <w:marLeft w:val="0"/>
      <w:marRight w:val="0"/>
      <w:marTop w:val="0"/>
      <w:marBottom w:val="0"/>
      <w:divBdr>
        <w:top w:val="none" w:sz="0" w:space="0" w:color="auto"/>
        <w:left w:val="none" w:sz="0" w:space="0" w:color="auto"/>
        <w:bottom w:val="none" w:sz="0" w:space="0" w:color="auto"/>
        <w:right w:val="none" w:sz="0" w:space="0" w:color="auto"/>
      </w:divBdr>
    </w:div>
    <w:div w:id="21459247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eur03.safelinks.protection.outlook.com/?url=https%3A%2F%2Furldefense.com%2Fv3%2F__https%3A%2Fwww.gov.uk%2Fgovernment%2Fpublications%2Fgender-pay-gap-reporting-guidance-for-employers%2Fpreparing-your-data__%3B!!PDiH4ENfjr2_Jw!GWLs59v0TJksXat09utgpIejiL_mMJZuTiFc2dNfMTdRIZgJYjXVDHy-xtNBeRRzJTj3VjoXx1kfWP3HNjXMUBCBYkYC9FuKRBXJ8QOjUZUGnZkfVFc%24&amp;data=05%7C02%7Cangelam%40businessdisabilityforum.org.uk%7C7ec2f3b1b54a4dfc094a08dda8162233%7Cbdc244fdcb454c74a0c57ff272d0abac%7C0%7C0%7C638851535194074036%7CUnknown%7CTWFpbGZsb3d8eyJFbXB0eU1hcGkiOnRydWUsIlYiOiIwLjAuMDAwMCIsIlAiOiJXaW4zMiIsIkFOIjoiTWFpbCIsIldUIjoyfQ%3D%3D%7C0%7C%7C%7C&amp;sdata=b6IgP8F2mlSIn86QAwQzgS0ZpCzb6B6aXW895FKEeHM%3D&amp;reserved=0"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businessdisabilityforum.org.uk/resource/towards-meaningful-disability-workforce-and-pay-gap-reporting/"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1" Type="http://schemas.openxmlformats.org/officeDocument/2006/relationships/hyperlink" Target="https://www.gov.uk/government/publications/ethnicity-pay-reporting-guidance-for-employers/understanding-and-reporting-your-data"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44746\Downloads\Document.dotx" TargetMode="External"/></Relationships>
</file>

<file path=word/theme/theme1.xml><?xml version="1.0" encoding="utf-8"?>
<a:theme xmlns:a="http://schemas.openxmlformats.org/drawingml/2006/main" name="BDF colour them">
  <a:themeElements>
    <a:clrScheme name="BDF colour theme">
      <a:dk1>
        <a:srgbClr val="4D4F53"/>
      </a:dk1>
      <a:lt1>
        <a:srgbClr val="B2B4B3"/>
      </a:lt1>
      <a:dk2>
        <a:srgbClr val="007AC9"/>
      </a:dk2>
      <a:lt2>
        <a:srgbClr val="FFFFFF"/>
      </a:lt2>
      <a:accent1>
        <a:srgbClr val="4D4F53"/>
      </a:accent1>
      <a:accent2>
        <a:srgbClr val="007AC9"/>
      </a:accent2>
      <a:accent3>
        <a:srgbClr val="B2B4B3"/>
      </a:accent3>
      <a:accent4>
        <a:srgbClr val="808080"/>
      </a:accent4>
      <a:accent5>
        <a:srgbClr val="000000"/>
      </a:accent5>
      <a:accent6>
        <a:srgbClr val="DADADA"/>
      </a:accent6>
      <a:hlink>
        <a:srgbClr val="6639B7"/>
      </a:hlink>
      <a:folHlink>
        <a:srgbClr val="00000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Key aids and barriers to effeciively engaging suppliers and partners.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E232203869E2CB448D8DAFC6E778D104" ma:contentTypeVersion="6" ma:contentTypeDescription="Create a new document." ma:contentTypeScope="" ma:versionID="7ba009ac24b2d3ff6ba69d14de74a1e7">
  <xsd:schema xmlns:xsd="http://www.w3.org/2001/XMLSchema" xmlns:xs="http://www.w3.org/2001/XMLSchema" xmlns:p="http://schemas.microsoft.com/office/2006/metadata/properties" xmlns:ns2="556e4226-0196-4a1c-838c-6afcd7844ac5" xmlns:ns3="889f299d-eac2-4d31-a92e-f8f40fe35434" targetNamespace="http://schemas.microsoft.com/office/2006/metadata/properties" ma:root="true" ma:fieldsID="ae924f9cd677beb38ce42e240c772da9" ns2:_="" ns3:_="">
    <xsd:import namespace="556e4226-0196-4a1c-838c-6afcd7844ac5"/>
    <xsd:import namespace="889f299d-eac2-4d31-a92e-f8f40fe3543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6e4226-0196-4a1c-838c-6afcd7844a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89f299d-eac2-4d31-a92e-f8f40fe3543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066A8FA-8D1C-8746-AD3F-192EC5A6E95E}">
  <ds:schemaRefs>
    <ds:schemaRef ds:uri="http://schemas.openxmlformats.org/officeDocument/2006/bibliography"/>
  </ds:schemaRefs>
</ds:datastoreItem>
</file>

<file path=customXml/itemProps3.xml><?xml version="1.0" encoding="utf-8"?>
<ds:datastoreItem xmlns:ds="http://schemas.openxmlformats.org/officeDocument/2006/customXml" ds:itemID="{F65802E9-9C23-41DE-BA07-BFAA8325D9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6e4226-0196-4a1c-838c-6afcd7844ac5"/>
    <ds:schemaRef ds:uri="889f299d-eac2-4d31-a92e-f8f40fe354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8EF4E4D-02AA-4054-96A4-06997E7475E8}">
  <ds:schemaRefs>
    <ds:schemaRef ds:uri="http://schemas.microsoft.com/sharepoint/v3/contenttype/forms"/>
  </ds:schemaRefs>
</ds:datastoreItem>
</file>

<file path=customXml/itemProps5.xml><?xml version="1.0" encoding="utf-8"?>
<ds:datastoreItem xmlns:ds="http://schemas.openxmlformats.org/officeDocument/2006/customXml" ds:itemID="{6EBD0A72-61D4-47D1-BA71-619D6E29201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Document</Template>
  <TotalTime>1</TotalTime>
  <Pages>22</Pages>
  <Words>5728</Words>
  <Characters>32656</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Business Disability Forum</Company>
  <LinksUpToDate>false</LinksUpToDate>
  <CharactersWithSpaces>38308</CharactersWithSpaces>
  <SharedDoc>false</SharedDoc>
  <HLinks>
    <vt:vector size="6" baseType="variant">
      <vt:variant>
        <vt:i4>5505145</vt:i4>
      </vt:variant>
      <vt:variant>
        <vt:i4>0</vt:i4>
      </vt:variant>
      <vt:variant>
        <vt:i4>0</vt:i4>
      </vt:variant>
      <vt:variant>
        <vt:i4>5</vt:i4>
      </vt:variant>
      <vt:variant>
        <vt:lpwstr>http://www.information-age.com/it-management/outsourcing-and-supplier-management/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44746</dc:creator>
  <cp:lastModifiedBy>Angela Matthews</cp:lastModifiedBy>
  <cp:revision>2</cp:revision>
  <cp:lastPrinted>2019-11-19T16:09:00Z</cp:lastPrinted>
  <dcterms:created xsi:type="dcterms:W3CDTF">2025-06-10T18:18:00Z</dcterms:created>
  <dcterms:modified xsi:type="dcterms:W3CDTF">2025-06-10T18:18:00Z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0x010100E232203869E2CB448D8DAFC6E778D104</vt:lpwstr>
  </property>
  <property fmtid="{D5CDD505-2E9C-101B-9397-08002B2CF9AE}" pid="3" name="Secondary_x0020_Organisations">
    <vt:lpwstr/>
  </property>
  <property fmtid="{D5CDD505-2E9C-101B-9397-08002B2CF9AE}" pid="4" name="NAOSubject">
    <vt:lpwstr/>
  </property>
  <property fmtid="{D5CDD505-2E9C-101B-9397-08002B2CF9AE}" pid="5" name="CoverageYear">
    <vt:lpwstr/>
  </property>
  <property fmtid="{D5CDD505-2E9C-101B-9397-08002B2CF9AE}" pid="6" name="PrimarySubject">
    <vt:lpwstr/>
  </property>
  <property fmtid="{D5CDD505-2E9C-101B-9397-08002B2CF9AE}" pid="7" name="CorporateTeam">
    <vt:lpwstr/>
  </property>
  <property fmtid="{D5CDD505-2E9C-101B-9397-08002B2CF9AE}" pid="8" name="Primary_x0020_Organisation">
    <vt:lpwstr/>
  </property>
  <property fmtid="{D5CDD505-2E9C-101B-9397-08002B2CF9AE}" pid="9" name="Cluster">
    <vt:lpwstr/>
  </property>
  <property fmtid="{D5CDD505-2E9C-101B-9397-08002B2CF9AE}" pid="10" name="CommunicationType">
    <vt:lpwstr/>
  </property>
  <property fmtid="{D5CDD505-2E9C-101B-9397-08002B2CF9AE}" pid="11" name="Secondary Organisations">
    <vt:lpwstr/>
  </property>
  <property fmtid="{D5CDD505-2E9C-101B-9397-08002B2CF9AE}" pid="12" name="Primary Organisation">
    <vt:lpwstr/>
  </property>
  <property fmtid="{D5CDD505-2E9C-101B-9397-08002B2CF9AE}" pid="13" name="_dlc_DocIdItemGuid">
    <vt:lpwstr>acff7a31-618c-402a-a2d2-0e79ba086b86</vt:lpwstr>
  </property>
  <property fmtid="{D5CDD505-2E9C-101B-9397-08002B2CF9AE}" pid="14" name="Order">
    <vt:r8>25479900</vt:r8>
  </property>
  <property fmtid="{D5CDD505-2E9C-101B-9397-08002B2CF9AE}" pid="15" name="xd_Signature">
    <vt:bool>false</vt:bool>
  </property>
  <property fmtid="{D5CDD505-2E9C-101B-9397-08002B2CF9AE}" pid="16" name="xd_ProgID">
    <vt:lpwstr/>
  </property>
  <property fmtid="{D5CDD505-2E9C-101B-9397-08002B2CF9AE}" pid="17" name="ComplianceAssetId">
    <vt:lpwstr/>
  </property>
  <property fmtid="{D5CDD505-2E9C-101B-9397-08002B2CF9AE}" pid="18" name="TemplateUrl">
    <vt:lpwstr/>
  </property>
  <property fmtid="{D5CDD505-2E9C-101B-9397-08002B2CF9AE}" pid="19" name="_ExtendedDescription">
    <vt:lpwstr/>
  </property>
  <property fmtid="{D5CDD505-2E9C-101B-9397-08002B2CF9AE}" pid="20" name="TriggerFlowInfo">
    <vt:lpwstr/>
  </property>
  <property fmtid="{D5CDD505-2E9C-101B-9397-08002B2CF9AE}" pid="21" name="MediaServiceImageTags">
    <vt:lpwstr/>
  </property>
</Properties>
</file>